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B7BC" w14:textId="16E71660" w:rsidR="00F031FC" w:rsidRDefault="00F031FC" w:rsidP="00DA2793">
      <w:pPr>
        <w:pStyle w:val="aa"/>
      </w:pPr>
      <w:bookmarkStart w:id="0" w:name="OLE_LINK3"/>
    </w:p>
    <w:p w14:paraId="1BD71768" w14:textId="37C1B63F" w:rsidR="003A064B" w:rsidRPr="00DA2793" w:rsidRDefault="00D52F79" w:rsidP="00DA2793">
      <w:pPr>
        <w:pStyle w:val="aa"/>
      </w:pPr>
      <w:r w:rsidRPr="00DA2793">
        <w:rPr>
          <w:rFonts w:hint="eastAsia"/>
        </w:rPr>
        <w:t>附件</w:t>
      </w:r>
      <w:r w:rsidR="001A2557">
        <w:rPr>
          <w:rFonts w:hint="eastAsia"/>
        </w:rPr>
        <w:t>2</w:t>
      </w:r>
      <w:bookmarkStart w:id="1" w:name="_GoBack"/>
      <w:bookmarkEnd w:id="1"/>
    </w:p>
    <w:p w14:paraId="63D0AF27" w14:textId="398F410B" w:rsidR="00DA2793" w:rsidRPr="00DA2793" w:rsidRDefault="00DA2793" w:rsidP="00DA2793">
      <w:pPr>
        <w:pStyle w:val="aa"/>
      </w:pPr>
      <w:r w:rsidRPr="00DA2793">
        <w:rPr>
          <w:rFonts w:hint="eastAsia"/>
        </w:rPr>
        <w:t>2</w:t>
      </w:r>
      <w:r w:rsidRPr="00DA2793">
        <w:t>025</w:t>
      </w:r>
      <w:r w:rsidRPr="00DA2793">
        <w:rPr>
          <w:rFonts w:hint="eastAsia"/>
        </w:rPr>
        <w:t>年颗粒物样品分析和模型解析委托业务服务项目报价表</w:t>
      </w:r>
    </w:p>
    <w:p w14:paraId="78966391" w14:textId="77777777" w:rsidR="003A064B" w:rsidRPr="00DA2793" w:rsidRDefault="003A064B" w:rsidP="00DA2793">
      <w:pPr>
        <w:pStyle w:val="aa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2410"/>
      </w:tblGrid>
      <w:tr w:rsidR="003A064B" w:rsidRPr="00DA2793" w14:paraId="01ABC6B7" w14:textId="77777777">
        <w:tc>
          <w:tcPr>
            <w:tcW w:w="2376" w:type="dxa"/>
          </w:tcPr>
          <w:p w14:paraId="3C76AF8E" w14:textId="77777777" w:rsidR="003A064B" w:rsidRPr="00DA2793" w:rsidRDefault="00D52F7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</w:rPr>
            </w:pPr>
            <w:r w:rsidRPr="00DA2793">
              <w:rPr>
                <w:rFonts w:ascii="宋体" w:eastAsia="宋体" w:hAnsi="宋体" w:cs="Calibri" w:hint="eastAsia"/>
                <w:kern w:val="0"/>
                <w:sz w:val="24"/>
              </w:rPr>
              <w:t>名称</w:t>
            </w:r>
          </w:p>
        </w:tc>
        <w:tc>
          <w:tcPr>
            <w:tcW w:w="3544" w:type="dxa"/>
          </w:tcPr>
          <w:p w14:paraId="3039BA6C" w14:textId="77777777" w:rsidR="003A064B" w:rsidRPr="00DA2793" w:rsidRDefault="00D52F7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</w:rPr>
            </w:pPr>
            <w:r w:rsidRPr="00DA2793">
              <w:rPr>
                <w:rFonts w:ascii="宋体" w:eastAsia="宋体" w:hAnsi="宋体" w:cs="Calibri" w:hint="eastAsia"/>
                <w:kern w:val="0"/>
                <w:sz w:val="24"/>
              </w:rPr>
              <w:t>服务要求</w:t>
            </w:r>
          </w:p>
        </w:tc>
        <w:tc>
          <w:tcPr>
            <w:tcW w:w="2410" w:type="dxa"/>
          </w:tcPr>
          <w:p w14:paraId="31B180ED" w14:textId="77777777" w:rsidR="003A064B" w:rsidRPr="00DA2793" w:rsidRDefault="00D52F79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</w:rPr>
            </w:pPr>
            <w:r w:rsidRPr="00DA2793">
              <w:rPr>
                <w:rFonts w:ascii="宋体" w:eastAsia="宋体" w:hAnsi="宋体" w:cs="Calibri" w:hint="eastAsia"/>
                <w:kern w:val="0"/>
                <w:sz w:val="24"/>
              </w:rPr>
              <w:t>报价/年</w:t>
            </w:r>
          </w:p>
        </w:tc>
      </w:tr>
      <w:tr w:rsidR="003A064B" w:rsidRPr="00DA2793" w14:paraId="569DBB8B" w14:textId="77777777">
        <w:tc>
          <w:tcPr>
            <w:tcW w:w="2376" w:type="dxa"/>
          </w:tcPr>
          <w:p w14:paraId="0A20EB26" w14:textId="1818E4C8" w:rsidR="00DA2793" w:rsidRPr="00DA2793" w:rsidRDefault="00DA2793" w:rsidP="00DA2793">
            <w:pPr>
              <w:pStyle w:val="aa"/>
            </w:pPr>
            <w:r w:rsidRPr="00DA2793">
              <w:rPr>
                <w:rFonts w:hint="eastAsia"/>
              </w:rPr>
              <w:t>2</w:t>
            </w:r>
            <w:r w:rsidRPr="00DA2793">
              <w:t>025</w:t>
            </w:r>
            <w:r w:rsidRPr="00DA2793">
              <w:rPr>
                <w:rFonts w:hint="eastAsia"/>
              </w:rPr>
              <w:t>年颗粒物样品分析和模型解析委托业务服务项目</w:t>
            </w:r>
          </w:p>
          <w:p w14:paraId="35F2F9F4" w14:textId="47BF1F4F" w:rsidR="003A064B" w:rsidRPr="00DA2793" w:rsidRDefault="003A064B" w:rsidP="00DA2793">
            <w:pPr>
              <w:pStyle w:val="aa"/>
            </w:pPr>
          </w:p>
        </w:tc>
        <w:tc>
          <w:tcPr>
            <w:tcW w:w="3544" w:type="dxa"/>
          </w:tcPr>
          <w:p w14:paraId="407A0318" w14:textId="77777777" w:rsidR="00DA2793" w:rsidRPr="00DA2793" w:rsidRDefault="00DA2793" w:rsidP="00DA2793">
            <w:pPr>
              <w:pStyle w:val="aa"/>
              <w:numPr>
                <w:ilvl w:val="0"/>
                <w:numId w:val="1"/>
              </w:numPr>
              <w:ind w:firstLineChars="0"/>
            </w:pPr>
            <w:r w:rsidRPr="00DA2793">
              <w:rPr>
                <w:rFonts w:hint="eastAsia"/>
              </w:rPr>
              <w:t> 总体要求</w:t>
            </w:r>
          </w:p>
          <w:p w14:paraId="23D59805" w14:textId="1AA36CCF" w:rsidR="00DA2793" w:rsidRPr="00DA2793" w:rsidRDefault="00DA2793" w:rsidP="00DA2793">
            <w:pPr>
              <w:pStyle w:val="aa"/>
            </w:pPr>
            <w:r w:rsidRPr="00DA2793">
              <w:rPr>
                <w:rFonts w:hint="eastAsia"/>
              </w:rPr>
              <w:t>本次分析的样品为大气颗粒物受体样品分析，分析内容包括浓度分析、无机元素分析、水溶性离子、碳组分和有机示踪组分分析；利用受体模型，</w:t>
            </w:r>
            <w:r w:rsidR="001758C0">
              <w:rPr>
                <w:rFonts w:hint="eastAsia"/>
              </w:rPr>
              <w:t>解析</w:t>
            </w:r>
            <w:r w:rsidRPr="00DA2793">
              <w:rPr>
                <w:rFonts w:hint="eastAsia"/>
              </w:rPr>
              <w:t>大气颗粒物的来源。</w:t>
            </w:r>
          </w:p>
          <w:p w14:paraId="5435CBA9" w14:textId="77777777" w:rsidR="00DA2793" w:rsidRPr="00DA2793" w:rsidRDefault="00DA2793" w:rsidP="00DA2793">
            <w:pPr>
              <w:pStyle w:val="aa"/>
            </w:pPr>
            <w:r w:rsidRPr="00DA2793">
              <w:t>二、具体要求</w:t>
            </w:r>
          </w:p>
          <w:p w14:paraId="2ED2F60D" w14:textId="77777777" w:rsidR="00DA2793" w:rsidRPr="00DA2793" w:rsidRDefault="00DA2793" w:rsidP="00DA2793">
            <w:pPr>
              <w:pStyle w:val="2"/>
              <w:ind w:firstLine="482"/>
              <w:outlineLvl w:val="1"/>
              <w:rPr>
                <w:rFonts w:ascii="宋体" w:eastAsia="宋体" w:hAnsi="宋体" w:cs="仿宋"/>
                <w:sz w:val="24"/>
                <w:szCs w:val="24"/>
              </w:rPr>
            </w:pPr>
            <w:r w:rsidRPr="00DA2793">
              <w:rPr>
                <w:rFonts w:ascii="宋体" w:eastAsia="宋体" w:hAnsi="宋体" w:cs="仿宋" w:hint="eastAsia"/>
                <w:sz w:val="24"/>
                <w:szCs w:val="24"/>
              </w:rPr>
              <w:t>1、颗粒物样品化学组分分析</w:t>
            </w:r>
          </w:p>
          <w:p w14:paraId="6E361A86" w14:textId="77777777" w:rsidR="00DA2793" w:rsidRPr="00DA2793" w:rsidRDefault="00DA2793" w:rsidP="00DA2793">
            <w:pPr>
              <w:ind w:firstLineChars="200" w:firstLine="480"/>
              <w:rPr>
                <w:rFonts w:ascii="宋体" w:eastAsia="宋体" w:hAnsi="宋体" w:cs="仿宋"/>
                <w:bCs/>
                <w:sz w:val="24"/>
              </w:rPr>
            </w:pP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本次分析的样品分为大气颗粒物受体样品，共计约685个，其中650个样品分析的内容包括浓度、无机元素、水溶性离子、碳组分，35个样品的分析内容为有机示踪组分。</w:t>
            </w:r>
          </w:p>
          <w:p w14:paraId="2CA483A9" w14:textId="77777777" w:rsidR="00DA2793" w:rsidRPr="00DA2793" w:rsidRDefault="00DA2793" w:rsidP="00DA2793">
            <w:pPr>
              <w:ind w:firstLineChars="200" w:firstLine="480"/>
              <w:rPr>
                <w:rFonts w:ascii="宋体" w:eastAsia="宋体" w:hAnsi="宋体" w:cs="仿宋"/>
                <w:bCs/>
                <w:sz w:val="24"/>
              </w:rPr>
            </w:pP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（1）大气颗粒物受体样品浓度分析：共计约650个，其中PM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bscript"/>
              </w:rPr>
              <w:t>10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和PM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bscript"/>
              </w:rPr>
              <w:t>2.5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样品各325个（每一个样品包含一张聚丙烯膜和一张石英膜，聚丙烯膜和石英膜各约650张）。</w:t>
            </w:r>
          </w:p>
          <w:p w14:paraId="3E5BC356" w14:textId="77777777" w:rsidR="00DA2793" w:rsidRPr="00DA2793" w:rsidRDefault="00DA2793" w:rsidP="00DA2793">
            <w:pPr>
              <w:ind w:firstLineChars="200" w:firstLine="480"/>
              <w:rPr>
                <w:rFonts w:ascii="宋体" w:eastAsia="宋体" w:hAnsi="宋体" w:cs="仿宋"/>
                <w:bCs/>
                <w:sz w:val="24"/>
              </w:rPr>
            </w:pP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（2）无机元素分析：聚丙烯膜样品分析23种无机元素（K、Na、S、Ca、Mg、Zn、Fe、Al、Si、Ti、Ni、Pb、Mn、Cu、Cr、Se、Hg、Ba、As、Sn、Mo、V、Cd）。</w:t>
            </w:r>
          </w:p>
          <w:p w14:paraId="61618505" w14:textId="77777777" w:rsidR="00DA2793" w:rsidRPr="00DA2793" w:rsidRDefault="00DA2793" w:rsidP="00DA2793">
            <w:pPr>
              <w:ind w:firstLineChars="200" w:firstLine="480"/>
              <w:rPr>
                <w:rFonts w:ascii="宋体" w:eastAsia="宋体" w:hAnsi="宋体" w:cs="仿宋"/>
                <w:bCs/>
                <w:sz w:val="24"/>
              </w:rPr>
            </w:pP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（3）水溶性离子和碳组分分析：石英滤膜样品分析Cl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perscript"/>
              </w:rPr>
              <w:t>-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、F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perscript"/>
              </w:rPr>
              <w:t>-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、Br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perscript"/>
              </w:rPr>
              <w:t>-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、SO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bscript"/>
              </w:rPr>
              <w:t>4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perscript"/>
              </w:rPr>
              <w:t>2-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、NO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bscript"/>
              </w:rPr>
              <w:t>3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perscript"/>
              </w:rPr>
              <w:t>-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、NO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bscript"/>
              </w:rPr>
              <w:t>2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perscript"/>
              </w:rPr>
              <w:t>-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、NH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bscript"/>
              </w:rPr>
              <w:t>4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perscript"/>
              </w:rPr>
              <w:t>+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、K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perscript"/>
              </w:rPr>
              <w:t>+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、Na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perscript"/>
              </w:rPr>
              <w:t>+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、Mg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perscript"/>
              </w:rPr>
              <w:t>2+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、Ca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perscript"/>
              </w:rPr>
              <w:t>2+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等11种水溶性离子，元素碳（EC）和有机碳（OC）。</w:t>
            </w:r>
          </w:p>
          <w:p w14:paraId="7538F54B" w14:textId="77777777" w:rsidR="00DA2793" w:rsidRPr="00DA2793" w:rsidRDefault="00DA2793" w:rsidP="00DA2793">
            <w:pPr>
              <w:ind w:firstLineChars="200" w:firstLine="480"/>
              <w:rPr>
                <w:rFonts w:ascii="宋体" w:eastAsia="宋体" w:hAnsi="宋体" w:cs="仿宋"/>
                <w:bCs/>
                <w:sz w:val="24"/>
              </w:rPr>
            </w:pP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（4）有机示踪组分包括多环芳烃16种（萘、苊烯、苊、芴、菲、蒽、荧蒽、芘、苯并〔</w:t>
            </w:r>
            <w:r w:rsidRPr="00DA2793">
              <w:rPr>
                <w:rFonts w:ascii="宋体" w:eastAsia="宋体" w:hAnsi="宋体" w:cs="仿宋"/>
                <w:bCs/>
                <w:sz w:val="24"/>
              </w:rPr>
              <w:t>a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〕蒽、䓛、苯并〔</w:t>
            </w:r>
            <w:r w:rsidRPr="00DA2793">
              <w:rPr>
                <w:rFonts w:ascii="宋体" w:eastAsia="宋体" w:hAnsi="宋体" w:cs="仿宋"/>
                <w:bCs/>
                <w:sz w:val="24"/>
              </w:rPr>
              <w:t>b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〕荧蒽、苯并〔</w:t>
            </w:r>
            <w:r w:rsidRPr="00DA2793">
              <w:rPr>
                <w:rFonts w:ascii="宋体" w:eastAsia="宋体" w:hAnsi="宋体" w:cs="仿宋"/>
                <w:bCs/>
                <w:sz w:val="24"/>
              </w:rPr>
              <w:t>k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〕荧蒽、苯并〔</w:t>
            </w:r>
            <w:r w:rsidRPr="00DA2793">
              <w:rPr>
                <w:rFonts w:ascii="宋体" w:eastAsia="宋体" w:hAnsi="宋体" w:cs="仿宋"/>
                <w:bCs/>
                <w:sz w:val="24"/>
              </w:rPr>
              <w:t>a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〕芘、二苯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lastRenderedPageBreak/>
              <w:t>并〔</w:t>
            </w:r>
            <w:r w:rsidRPr="00DA2793">
              <w:rPr>
                <w:rFonts w:ascii="宋体" w:eastAsia="宋体" w:hAnsi="宋体" w:cs="仿宋"/>
                <w:bCs/>
                <w:sz w:val="24"/>
              </w:rPr>
              <w:t>a,h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〕蒽、苯并〔</w:t>
            </w:r>
            <w:r w:rsidRPr="00DA2793">
              <w:rPr>
                <w:rFonts w:ascii="宋体" w:eastAsia="宋体" w:hAnsi="宋体" w:cs="仿宋"/>
                <w:bCs/>
                <w:sz w:val="24"/>
              </w:rPr>
              <w:t>g,h,i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〕苝和茚并〔</w:t>
            </w:r>
            <w:r w:rsidRPr="00DA2793">
              <w:rPr>
                <w:rFonts w:ascii="宋体" w:eastAsia="宋体" w:hAnsi="宋体" w:cs="仿宋"/>
                <w:bCs/>
                <w:sz w:val="24"/>
              </w:rPr>
              <w:t>1,2,3-cd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〕芘），正构烷烃32种（C9～C40），餐饮油烟标识物3种（胆固醇、棕榈酸、硬脂酸），邻苯二甲酸酯类6种（（邻苯二甲酸二-乙基已基酯（DEHP）、邻苯二甲酸二丁酯（DBP）、邻苯二甲酸二甲酯（DMP）、邻苯二甲酸二已酯（DEP）、邻苯二甲酸丁基苄基酯（BBP）、邻苯二甲酸二辛酯（DNOP）））、有机磷酸酯7种（（磷酸三正丁酯（TNBP）、磷酸三苯酯（TPHP）、磷酸三（2-氯丙基）酯（TCPP）、磷酸二苯基异辛酯（EHDPP）、磷酸三（1,3-二氯异丙基）酯（TDCPP）、磷酸三（丁氧基乙基）酯（TBEP）、磷酸三-2-乙基己基酯（TEHP）））。</w:t>
            </w:r>
          </w:p>
          <w:p w14:paraId="25272E57" w14:textId="77777777" w:rsidR="00DA2793" w:rsidRPr="00DA2793" w:rsidRDefault="00DA2793" w:rsidP="00DA2793">
            <w:pPr>
              <w:ind w:firstLineChars="200" w:firstLine="480"/>
              <w:rPr>
                <w:rFonts w:ascii="宋体" w:eastAsia="宋体" w:hAnsi="宋体" w:cs="仿宋"/>
                <w:bCs/>
                <w:sz w:val="24"/>
              </w:rPr>
            </w:pP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（</w:t>
            </w:r>
            <w:r w:rsidRPr="00DA2793">
              <w:rPr>
                <w:rFonts w:ascii="宋体" w:eastAsia="宋体" w:hAnsi="宋体" w:cs="仿宋"/>
                <w:bCs/>
                <w:sz w:val="24"/>
              </w:rPr>
              <w:t>5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）样品分析方法中无机元素分析采用电感耦合等离子体原子发射光谱（ICP-AES）或电感耦合等离子体质谱（ICP-MS）或X射线荧光光谱分析(XRF)，水溶性离子分析采用离子色谱法，碳组分分析（OC和EC分析）采用热光分析法，有机示踪组分采用高效液相色谱仪或气相色谱质谱仪。</w:t>
            </w:r>
          </w:p>
          <w:p w14:paraId="6B298F40" w14:textId="77777777" w:rsidR="00DA2793" w:rsidRPr="00DA2793" w:rsidRDefault="00DA2793" w:rsidP="00DA2793">
            <w:pPr>
              <w:ind w:firstLineChars="200" w:firstLine="482"/>
              <w:rPr>
                <w:rFonts w:ascii="宋体" w:eastAsia="宋体" w:hAnsi="宋体" w:cs="仿宋"/>
                <w:b/>
                <w:sz w:val="24"/>
              </w:rPr>
            </w:pPr>
            <w:r w:rsidRPr="00DA2793">
              <w:rPr>
                <w:rFonts w:ascii="宋体" w:eastAsia="宋体" w:hAnsi="宋体" w:cs="仿宋" w:hint="eastAsia"/>
                <w:b/>
                <w:sz w:val="24"/>
              </w:rPr>
              <w:t>2、大气颗粒物来源解析</w:t>
            </w:r>
          </w:p>
          <w:p w14:paraId="34698DAD" w14:textId="77777777" w:rsidR="00DA2793" w:rsidRPr="00DA2793" w:rsidRDefault="00DA2793" w:rsidP="00DA2793">
            <w:pPr>
              <w:ind w:firstLineChars="200" w:firstLine="480"/>
              <w:rPr>
                <w:rFonts w:ascii="宋体" w:eastAsia="宋体" w:hAnsi="宋体" w:cs="仿宋"/>
                <w:bCs/>
                <w:sz w:val="24"/>
              </w:rPr>
            </w:pP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利用受体模型（化学质量平衡模型（CMB）和正定矩阵因子分解法（PMF）），根据颗粒物受体样品化学组分，开展成都市2025年不同季节、成都市不同区域以及重污染时段PM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bscript"/>
              </w:rPr>
              <w:t>10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和PM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bscript"/>
              </w:rPr>
              <w:t>2.5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离线源解析工作，分析大气颗粒物的来源。</w:t>
            </w:r>
          </w:p>
          <w:p w14:paraId="506CF067" w14:textId="77777777" w:rsidR="00DA2793" w:rsidRPr="00DA2793" w:rsidRDefault="00DA2793" w:rsidP="00DA2793">
            <w:pPr>
              <w:rPr>
                <w:rFonts w:ascii="宋体" w:eastAsia="宋体" w:hAnsi="宋体" w:cs="仿宋"/>
                <w:bCs/>
                <w:sz w:val="24"/>
              </w:rPr>
            </w:pP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三、成果提交</w:t>
            </w:r>
          </w:p>
          <w:p w14:paraId="7E4F6EFD" w14:textId="77777777" w:rsidR="00DA2793" w:rsidRPr="00DA2793" w:rsidRDefault="00DA2793" w:rsidP="00DA2793">
            <w:pPr>
              <w:ind w:firstLineChars="200" w:firstLine="480"/>
              <w:rPr>
                <w:rFonts w:ascii="宋体" w:eastAsia="宋体" w:hAnsi="宋体" w:cs="仿宋"/>
                <w:bCs/>
                <w:sz w:val="24"/>
              </w:rPr>
            </w:pP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提供2025年成都市颗粒物组分分析及来源解析报告电子版（Word版）1份，内容包括，样品分析方法原理、样品制备、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lastRenderedPageBreak/>
              <w:t>质量控制、PM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bscript"/>
              </w:rPr>
              <w:t>2.5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中化学组分时空特征、PM</w:t>
            </w:r>
            <w:r w:rsidRPr="00DA2793">
              <w:rPr>
                <w:rFonts w:ascii="宋体" w:eastAsia="宋体" w:hAnsi="宋体" w:cs="仿宋" w:hint="eastAsia"/>
                <w:bCs/>
                <w:sz w:val="24"/>
                <w:vertAlign w:val="subscript"/>
              </w:rPr>
              <w:t>10</w:t>
            </w:r>
            <w:r w:rsidRPr="00DA2793">
              <w:rPr>
                <w:rFonts w:ascii="宋体" w:eastAsia="宋体" w:hAnsi="宋体" w:cs="仿宋" w:hint="eastAsia"/>
                <w:bCs/>
                <w:sz w:val="24"/>
              </w:rPr>
              <w:t>中化学组分时空特征、大气颗粒物来源解析（解析出燃煤源、扬尘源、机动车尾气尘、生物质燃烧源、二次硫酸盐、二次硝酸盐、SOC（二次有机碳）等各源类的贡献）结果。</w:t>
            </w:r>
          </w:p>
          <w:p w14:paraId="456BC435" w14:textId="77777777" w:rsidR="003A064B" w:rsidRPr="00DA2793" w:rsidRDefault="003A064B" w:rsidP="00DA2793">
            <w:pPr>
              <w:pStyle w:val="aa"/>
            </w:pPr>
          </w:p>
        </w:tc>
        <w:tc>
          <w:tcPr>
            <w:tcW w:w="2410" w:type="dxa"/>
          </w:tcPr>
          <w:p w14:paraId="5253096F" w14:textId="77777777" w:rsidR="003A064B" w:rsidRPr="00DA2793" w:rsidRDefault="00D52F79" w:rsidP="00DA2793">
            <w:pPr>
              <w:pStyle w:val="aa"/>
              <w:rPr>
                <w:rFonts w:cs="方正小标宋简体"/>
                <w:color w:val="333333"/>
              </w:rPr>
            </w:pPr>
            <w:r w:rsidRPr="00DA2793">
              <w:rPr>
                <w:rFonts w:hint="eastAsia"/>
              </w:rPr>
              <w:lastRenderedPageBreak/>
              <w:t>***</w:t>
            </w:r>
            <w:r w:rsidRPr="00DA2793">
              <w:rPr>
                <w:rFonts w:cs="Calibri" w:hint="eastAsia"/>
              </w:rPr>
              <w:t>万元</w:t>
            </w:r>
          </w:p>
        </w:tc>
      </w:tr>
    </w:tbl>
    <w:p w14:paraId="7C30A3A0" w14:textId="77777777" w:rsidR="003A064B" w:rsidRPr="00DA2793" w:rsidRDefault="003A064B" w:rsidP="00DA2793">
      <w:pPr>
        <w:pStyle w:val="aa"/>
      </w:pPr>
    </w:p>
    <w:p w14:paraId="7102330C" w14:textId="1FC865B4" w:rsidR="003A064B" w:rsidRPr="00DA2793" w:rsidRDefault="00F031FC" w:rsidP="00DA2793">
      <w:pPr>
        <w:pStyle w:val="aa"/>
      </w:pPr>
      <w:r w:rsidRPr="00DA2793">
        <w:rPr>
          <w:rFonts w:hint="eastAsia"/>
        </w:rPr>
        <w:t>说明：报价为含税价。</w:t>
      </w:r>
    </w:p>
    <w:p w14:paraId="65F268E1" w14:textId="1FD01EE6" w:rsidR="00F031FC" w:rsidRPr="00DA2793" w:rsidRDefault="00F031FC" w:rsidP="00DA2793">
      <w:pPr>
        <w:pStyle w:val="aa"/>
      </w:pPr>
      <w:r w:rsidRPr="00DA2793">
        <w:rPr>
          <w:rFonts w:hint="eastAsia"/>
        </w:rPr>
        <w:t xml:space="preserve"> </w:t>
      </w:r>
      <w:r w:rsidRPr="00DA2793">
        <w:t xml:space="preserve">                 </w:t>
      </w:r>
      <w:r w:rsidR="00CF609D">
        <w:t xml:space="preserve"> </w:t>
      </w:r>
      <w:r w:rsidRPr="00DA2793">
        <w:t xml:space="preserve"> </w:t>
      </w:r>
      <w:bookmarkStart w:id="2" w:name="OLE_LINK4"/>
      <w:r w:rsidRPr="00DA2793">
        <w:rPr>
          <w:rFonts w:hint="eastAsia"/>
        </w:rPr>
        <w:t>报价单位（盖章）：</w:t>
      </w:r>
    </w:p>
    <w:p w14:paraId="7C6D525C" w14:textId="3AE5E006" w:rsidR="003A064B" w:rsidRPr="00DA2793" w:rsidRDefault="00F031FC" w:rsidP="00DA2793">
      <w:pPr>
        <w:pStyle w:val="aa"/>
      </w:pPr>
      <w:r w:rsidRPr="00DA2793">
        <w:rPr>
          <w:rFonts w:hint="eastAsia"/>
        </w:rPr>
        <w:t xml:space="preserve"> </w:t>
      </w:r>
      <w:r w:rsidRPr="00DA2793">
        <w:t xml:space="preserve"> </w:t>
      </w:r>
      <w:r w:rsidR="00CF609D">
        <w:t xml:space="preserve">                  </w:t>
      </w:r>
      <w:r w:rsidR="00D52F79" w:rsidRPr="00DA2793">
        <w:rPr>
          <w:rFonts w:hint="eastAsia"/>
        </w:rPr>
        <w:t>联系人：  </w:t>
      </w:r>
      <w:r w:rsidR="00D52F79" w:rsidRPr="00DA2793">
        <w:t>     </w:t>
      </w:r>
    </w:p>
    <w:p w14:paraId="08FD8F22" w14:textId="77777777" w:rsidR="003A064B" w:rsidRPr="00DA2793" w:rsidRDefault="00D52F79" w:rsidP="00CF609D">
      <w:pPr>
        <w:pStyle w:val="aa"/>
        <w:ind w:firstLineChars="1100" w:firstLine="2640"/>
      </w:pPr>
      <w:r w:rsidRPr="00DA2793">
        <w:rPr>
          <w:rFonts w:hint="eastAsia"/>
        </w:rPr>
        <w:t>联系电话：</w:t>
      </w:r>
    </w:p>
    <w:p w14:paraId="0268BAA3" w14:textId="77777777" w:rsidR="003A064B" w:rsidRPr="00DA2793" w:rsidRDefault="00D52F79" w:rsidP="00CF609D">
      <w:pPr>
        <w:pStyle w:val="aa"/>
        <w:ind w:firstLineChars="1100" w:firstLine="2640"/>
      </w:pPr>
      <w:r w:rsidRPr="00DA2793">
        <w:rPr>
          <w:rFonts w:hint="eastAsia"/>
        </w:rPr>
        <w:t>日期：</w:t>
      </w:r>
    </w:p>
    <w:bookmarkEnd w:id="0"/>
    <w:bookmarkEnd w:id="2"/>
    <w:p w14:paraId="06CCA3EF" w14:textId="77777777" w:rsidR="003A064B" w:rsidRDefault="003A064B" w:rsidP="00DA2793">
      <w:pPr>
        <w:pStyle w:val="aa"/>
      </w:pPr>
    </w:p>
    <w:p w14:paraId="73B9BB73" w14:textId="77777777" w:rsidR="003A064B" w:rsidRDefault="003A064B" w:rsidP="00DA2793">
      <w:pPr>
        <w:pStyle w:val="aa"/>
      </w:pPr>
    </w:p>
    <w:p w14:paraId="37592161" w14:textId="77777777" w:rsidR="003A064B" w:rsidRDefault="003A064B" w:rsidP="00DA2793">
      <w:pPr>
        <w:pStyle w:val="aa"/>
      </w:pPr>
    </w:p>
    <w:p w14:paraId="71626578" w14:textId="77777777" w:rsidR="003A064B" w:rsidRDefault="003A064B" w:rsidP="00DA2793">
      <w:pPr>
        <w:pStyle w:val="aa"/>
      </w:pPr>
    </w:p>
    <w:p w14:paraId="66DBA7A0" w14:textId="77777777" w:rsidR="003A064B" w:rsidRDefault="003A064B" w:rsidP="00DA2793">
      <w:pPr>
        <w:pStyle w:val="aa"/>
      </w:pPr>
    </w:p>
    <w:p w14:paraId="13BA88DC" w14:textId="77777777" w:rsidR="003A064B" w:rsidRDefault="003A064B" w:rsidP="00DA2793">
      <w:pPr>
        <w:pStyle w:val="aa"/>
      </w:pPr>
    </w:p>
    <w:p w14:paraId="76210A54" w14:textId="77777777" w:rsidR="003A064B" w:rsidRDefault="003A064B" w:rsidP="00DA2793">
      <w:pPr>
        <w:pStyle w:val="aa"/>
      </w:pPr>
    </w:p>
    <w:p w14:paraId="6C96315F" w14:textId="77777777" w:rsidR="003A064B" w:rsidRDefault="003A064B"/>
    <w:sectPr w:rsidR="003A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1E5C0" w14:textId="77777777" w:rsidR="00975076" w:rsidRDefault="00975076" w:rsidP="00F031FC">
      <w:r>
        <w:separator/>
      </w:r>
    </w:p>
  </w:endnote>
  <w:endnote w:type="continuationSeparator" w:id="0">
    <w:p w14:paraId="613A5FB2" w14:textId="77777777" w:rsidR="00975076" w:rsidRDefault="00975076" w:rsidP="00F0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A28D2" w14:textId="77777777" w:rsidR="00975076" w:rsidRDefault="00975076" w:rsidP="00F031FC">
      <w:r>
        <w:separator/>
      </w:r>
    </w:p>
  </w:footnote>
  <w:footnote w:type="continuationSeparator" w:id="0">
    <w:p w14:paraId="2B93C901" w14:textId="77777777" w:rsidR="00975076" w:rsidRDefault="00975076" w:rsidP="00F03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2233"/>
    <w:multiLevelType w:val="singleLevel"/>
    <w:tmpl w:val="486F96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86F968C"/>
    <w:multiLevelType w:val="singleLevel"/>
    <w:tmpl w:val="486F96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MTZjMzgwOWQyYmRiNWUwYTI5MWEzZDYxNmNmYTkifQ=="/>
  </w:docVars>
  <w:rsids>
    <w:rsidRoot w:val="1EC4633B"/>
    <w:rsid w:val="00020583"/>
    <w:rsid w:val="00120F5E"/>
    <w:rsid w:val="001758C0"/>
    <w:rsid w:val="001A2557"/>
    <w:rsid w:val="001D0F02"/>
    <w:rsid w:val="00237390"/>
    <w:rsid w:val="0024708F"/>
    <w:rsid w:val="002C5D13"/>
    <w:rsid w:val="003A064B"/>
    <w:rsid w:val="00507AB6"/>
    <w:rsid w:val="005306B6"/>
    <w:rsid w:val="005C6080"/>
    <w:rsid w:val="006F41D0"/>
    <w:rsid w:val="00753226"/>
    <w:rsid w:val="007A6482"/>
    <w:rsid w:val="007A7E2E"/>
    <w:rsid w:val="008902FA"/>
    <w:rsid w:val="008A174F"/>
    <w:rsid w:val="008A5233"/>
    <w:rsid w:val="00975076"/>
    <w:rsid w:val="00A32436"/>
    <w:rsid w:val="00A72C2C"/>
    <w:rsid w:val="00AF3655"/>
    <w:rsid w:val="00B724E3"/>
    <w:rsid w:val="00BD69E5"/>
    <w:rsid w:val="00C60506"/>
    <w:rsid w:val="00C63947"/>
    <w:rsid w:val="00CF609D"/>
    <w:rsid w:val="00D52F79"/>
    <w:rsid w:val="00DA2793"/>
    <w:rsid w:val="00E20DF4"/>
    <w:rsid w:val="00E21319"/>
    <w:rsid w:val="00E616F7"/>
    <w:rsid w:val="00EC28A6"/>
    <w:rsid w:val="00F031FC"/>
    <w:rsid w:val="00F34EDB"/>
    <w:rsid w:val="00F737D4"/>
    <w:rsid w:val="05B5294C"/>
    <w:rsid w:val="079E0DE1"/>
    <w:rsid w:val="1EC4633B"/>
    <w:rsid w:val="2BFE73BA"/>
    <w:rsid w:val="369F40CE"/>
    <w:rsid w:val="41702551"/>
    <w:rsid w:val="48AE2833"/>
    <w:rsid w:val="49B400F2"/>
    <w:rsid w:val="7924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16CDE"/>
  <w15:docId w15:val="{0E03021B-C774-4BD6-B4B3-BB6EF193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D69E5"/>
    <w:pPr>
      <w:keepNext/>
      <w:keepLines/>
      <w:spacing w:before="20" w:after="20"/>
      <w:ind w:firstLineChars="200" w:firstLine="200"/>
      <w:outlineLvl w:val="1"/>
    </w:pPr>
    <w:rPr>
      <w:rFonts w:ascii="Arial" w:eastAsia="黑体" w:hAnsi="Arial" w:cs="Times New Roman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rsid w:val="00DA2793"/>
    <w:pPr>
      <w:widowControl/>
      <w:ind w:firstLineChars="100" w:firstLine="240"/>
      <w:textAlignment w:val="baseline"/>
    </w:pPr>
    <w:rPr>
      <w:rFonts w:asciiTheme="majorEastAsia" w:eastAsiaTheme="majorEastAsia" w:hAnsiTheme="majorEastAsia" w:cs="Times New Roman"/>
      <w:kern w:val="0"/>
      <w:sz w:val="24"/>
      <w:shd w:val="clear" w:color="auto" w:fill="FFFFFF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BD69E5"/>
    <w:rPr>
      <w:rFonts w:ascii="Arial" w:eastAsia="黑体" w:hAnsi="Arial"/>
      <w:b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214</Words>
  <Characters>1223</Characters>
  <Application>Microsoft Office Word</Application>
  <DocSecurity>0</DocSecurity>
  <Lines>10</Lines>
  <Paragraphs>2</Paragraphs>
  <ScaleCrop>false</ScaleCrop>
  <Company>中铁建设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小杨杨</dc:creator>
  <cp:lastModifiedBy>王璐</cp:lastModifiedBy>
  <cp:revision>17</cp:revision>
  <dcterms:created xsi:type="dcterms:W3CDTF">2024-05-09T01:53:00Z</dcterms:created>
  <dcterms:modified xsi:type="dcterms:W3CDTF">2024-09-23T08:48:00Z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278B8AAFFE3942E289E3CFA11F41C542_13</vt:lpwstr>
  </property>
</Properties>
</file>