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4E0AF">
      <w:pPr>
        <w:jc w:val="left"/>
        <w:rPr>
          <w:rFonts w:hint="eastAsia" w:ascii="Times New Roman" w:hAnsi="Times New Roman" w:eastAsia="方正黑体简体" w:cs="Times New Roman"/>
          <w:color w:val="auto"/>
          <w:sz w:val="32"/>
          <w:szCs w:val="28"/>
          <w:highlight w:val="none"/>
          <w:lang w:val="en-US" w:eastAsia="zh-CN"/>
        </w:rPr>
      </w:pPr>
      <w:bookmarkStart w:id="0" w:name="_GoBack"/>
      <w:bookmarkEnd w:id="0"/>
      <w:r>
        <w:rPr>
          <w:rFonts w:hint="default" w:ascii="Times New Roman" w:hAnsi="Times New Roman" w:eastAsia="方正黑体简体" w:cs="Times New Roman"/>
          <w:color w:val="auto"/>
          <w:sz w:val="32"/>
          <w:szCs w:val="28"/>
          <w:highlight w:val="none"/>
        </w:rPr>
        <w:t>附件</w:t>
      </w:r>
      <w:r>
        <w:rPr>
          <w:rFonts w:hint="eastAsia" w:ascii="Times New Roman" w:hAnsi="Times New Roman" w:eastAsia="方正黑体简体" w:cs="Times New Roman"/>
          <w:color w:val="auto"/>
          <w:sz w:val="32"/>
          <w:szCs w:val="28"/>
          <w:highlight w:val="none"/>
          <w:lang w:val="en-US" w:eastAsia="zh-CN"/>
        </w:rPr>
        <w:t>1</w:t>
      </w:r>
    </w:p>
    <w:p w14:paraId="4931ADE3">
      <w:pPr>
        <w:pStyle w:val="2"/>
        <w:rPr>
          <w:rFonts w:hint="default" w:ascii="Times New Roman" w:hAnsi="Times New Roman" w:cs="Times New Roman"/>
        </w:rPr>
      </w:pPr>
    </w:p>
    <w:p w14:paraId="5EB41C4B">
      <w:pPr>
        <w:keepNext w:val="0"/>
        <w:keepLines w:val="0"/>
        <w:pageBreakBefore w:val="0"/>
        <w:widowControl w:val="0"/>
        <w:kinsoku/>
        <w:wordWrap/>
        <w:overflowPunct/>
        <w:topLinePunct w:val="0"/>
        <w:autoSpaceDE/>
        <w:autoSpaceDN/>
        <w:bidi w:val="0"/>
        <w:adjustRightInd/>
        <w:snapToGrid/>
        <w:spacing w:line="600" w:lineRule="exact"/>
        <w:ind w:left="0" w:right="0"/>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关于2026年成都生态环境社会氛围营造项目</w:t>
      </w:r>
    </w:p>
    <w:p w14:paraId="0AE9360E">
      <w:pPr>
        <w:keepNext w:val="0"/>
        <w:keepLines w:val="0"/>
        <w:pageBreakBefore w:val="0"/>
        <w:widowControl w:val="0"/>
        <w:kinsoku/>
        <w:wordWrap/>
        <w:overflowPunct/>
        <w:topLinePunct w:val="0"/>
        <w:autoSpaceDE/>
        <w:autoSpaceDN/>
        <w:bidi w:val="0"/>
        <w:adjustRightInd/>
        <w:snapToGrid/>
        <w:spacing w:line="600" w:lineRule="exact"/>
        <w:ind w:left="0" w:right="0"/>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市场调研的报价表</w:t>
      </w:r>
    </w:p>
    <w:tbl>
      <w:tblPr>
        <w:tblStyle w:val="6"/>
        <w:tblpPr w:leftFromText="180" w:rightFromText="180" w:vertAnchor="text" w:horzAnchor="page" w:tblpX="1506" w:tblpY="334"/>
        <w:tblOverlap w:val="never"/>
        <w:tblW w:w="5315" w:type="pct"/>
        <w:tblInd w:w="0" w:type="dxa"/>
        <w:tblLayout w:type="fixed"/>
        <w:tblCellMar>
          <w:top w:w="0" w:type="dxa"/>
          <w:left w:w="108" w:type="dxa"/>
          <w:bottom w:w="0" w:type="dxa"/>
          <w:right w:w="108" w:type="dxa"/>
        </w:tblCellMar>
      </w:tblPr>
      <w:tblGrid>
        <w:gridCol w:w="1818"/>
        <w:gridCol w:w="4622"/>
        <w:gridCol w:w="1311"/>
        <w:gridCol w:w="1259"/>
      </w:tblGrid>
      <w:tr w14:paraId="35D1C62E">
        <w:tblPrEx>
          <w:tblCellMar>
            <w:top w:w="0" w:type="dxa"/>
            <w:left w:w="108" w:type="dxa"/>
            <w:bottom w:w="0" w:type="dxa"/>
            <w:right w:w="108" w:type="dxa"/>
          </w:tblCellMar>
        </w:tblPrEx>
        <w:trPr>
          <w:trHeight w:val="619" w:hRule="atLeast"/>
          <w:tblHeader/>
        </w:trPr>
        <w:tc>
          <w:tcPr>
            <w:tcW w:w="1008" w:type="pct"/>
            <w:tcBorders>
              <w:top w:val="single" w:color="000000" w:sz="4" w:space="0"/>
              <w:left w:val="single" w:color="000000" w:sz="4" w:space="0"/>
              <w:bottom w:val="single" w:color="auto" w:sz="4" w:space="0"/>
              <w:right w:val="single" w:color="000000" w:sz="4" w:space="0"/>
            </w:tcBorders>
            <w:noWrap w:val="0"/>
            <w:tcMar>
              <w:top w:w="85" w:type="dxa"/>
              <w:left w:w="85" w:type="dxa"/>
              <w:bottom w:w="85" w:type="dxa"/>
              <w:right w:w="85" w:type="dxa"/>
            </w:tcMar>
            <w:vAlign w:val="center"/>
          </w:tcPr>
          <w:p w14:paraId="1146A391">
            <w:pPr>
              <w:widowControl/>
              <w:pBdr>
                <w:between w:val="single" w:color="auto" w:sz="4" w:space="0"/>
              </w:pBdr>
              <w:snapToGrid w:val="0"/>
              <w:jc w:val="center"/>
              <w:textAlignment w:val="center"/>
              <w:rPr>
                <w:rFonts w:hint="default" w:ascii="Times New Roman" w:hAnsi="Times New Roman" w:eastAsia="宋体" w:cs="Times New Roman"/>
                <w:b/>
                <w:bCs/>
                <w:lang w:val="en-US" w:eastAsia="zh-CN"/>
              </w:rPr>
            </w:pPr>
            <w:r>
              <w:rPr>
                <w:rFonts w:hint="eastAsia" w:ascii="Times New Roman" w:hAnsi="Times New Roman" w:cs="Times New Roman"/>
                <w:b/>
                <w:bCs/>
                <w:lang w:val="en-US" w:eastAsia="zh-CN"/>
              </w:rPr>
              <w:t>标的名称</w:t>
            </w:r>
          </w:p>
        </w:tc>
        <w:tc>
          <w:tcPr>
            <w:tcW w:w="3991" w:type="pct"/>
            <w:gridSpan w:val="3"/>
            <w:tcBorders>
              <w:top w:val="single" w:color="000000" w:sz="4" w:space="0"/>
              <w:left w:val="single" w:color="000000" w:sz="4" w:space="0"/>
              <w:bottom w:val="single" w:color="000000" w:sz="4" w:space="0"/>
              <w:right w:val="single" w:color="000000" w:sz="4" w:space="0"/>
            </w:tcBorders>
            <w:noWrap w:val="0"/>
            <w:tcMar>
              <w:top w:w="85" w:type="dxa"/>
              <w:left w:w="85" w:type="dxa"/>
              <w:bottom w:w="85" w:type="dxa"/>
              <w:right w:w="85" w:type="dxa"/>
            </w:tcMar>
            <w:vAlign w:val="center"/>
          </w:tcPr>
          <w:p w14:paraId="7BDB826D">
            <w:pPr>
              <w:widowControl/>
              <w:pBdr>
                <w:between w:val="single" w:color="auto" w:sz="4" w:space="0"/>
              </w:pBdr>
              <w:snapToGrid w:val="0"/>
              <w:jc w:val="center"/>
              <w:textAlignment w:val="center"/>
              <w:rPr>
                <w:rFonts w:hint="default"/>
                <w:lang w:val="en-US"/>
              </w:rPr>
            </w:pPr>
            <w:r>
              <w:rPr>
                <w:rFonts w:hint="eastAsia" w:ascii="Times New Roman" w:hAnsi="Times New Roman" w:eastAsia="方正仿宋_GBK" w:cs="Times New Roman"/>
                <w:sz w:val="24"/>
                <w:szCs w:val="32"/>
                <w:highlight w:val="none"/>
                <w:lang w:eastAsia="zh-CN"/>
              </w:rPr>
              <w:t>2026年成都生态环境社会氛围营造</w:t>
            </w:r>
            <w:r>
              <w:rPr>
                <w:rFonts w:hint="eastAsia" w:ascii="Times New Roman" w:hAnsi="Times New Roman" w:eastAsia="方正仿宋_GBK" w:cs="Times New Roman"/>
                <w:sz w:val="24"/>
                <w:szCs w:val="32"/>
                <w:highlight w:val="none"/>
                <w:lang w:val="en-US" w:eastAsia="zh-CN"/>
              </w:rPr>
              <w:t>服务</w:t>
            </w:r>
          </w:p>
        </w:tc>
      </w:tr>
      <w:tr w14:paraId="49CF930D">
        <w:tblPrEx>
          <w:tblCellMar>
            <w:top w:w="0" w:type="dxa"/>
            <w:left w:w="108" w:type="dxa"/>
            <w:bottom w:w="0" w:type="dxa"/>
            <w:right w:w="108" w:type="dxa"/>
          </w:tblCellMar>
        </w:tblPrEx>
        <w:trPr>
          <w:trHeight w:val="619" w:hRule="atLeast"/>
          <w:tblHeader/>
        </w:trPr>
        <w:tc>
          <w:tcPr>
            <w:tcW w:w="1008" w:type="pct"/>
            <w:tcBorders>
              <w:top w:val="single" w:color="000000" w:sz="4" w:space="0"/>
              <w:left w:val="single" w:color="000000" w:sz="4" w:space="0"/>
              <w:bottom w:val="single" w:color="auto" w:sz="4" w:space="0"/>
              <w:right w:val="single" w:color="000000" w:sz="4" w:space="0"/>
            </w:tcBorders>
            <w:noWrap w:val="0"/>
            <w:tcMar>
              <w:top w:w="85" w:type="dxa"/>
              <w:left w:w="85" w:type="dxa"/>
              <w:bottom w:w="85" w:type="dxa"/>
              <w:right w:w="85" w:type="dxa"/>
            </w:tcMar>
            <w:vAlign w:val="center"/>
          </w:tcPr>
          <w:p w14:paraId="7AC685E0">
            <w:pPr>
              <w:widowControl/>
              <w:pBdr>
                <w:between w:val="single" w:color="auto" w:sz="4" w:space="0"/>
              </w:pBdr>
              <w:snapToGrid w:val="0"/>
              <w:jc w:val="center"/>
              <w:textAlignment w:val="center"/>
              <w:rPr>
                <w:rFonts w:hint="default" w:ascii="Times New Roman" w:hAnsi="Times New Roman" w:eastAsia="宋体" w:cs="Times New Roman"/>
                <w:b/>
                <w:bCs/>
                <w:kern w:val="2"/>
                <w:sz w:val="21"/>
                <w:szCs w:val="24"/>
                <w:lang w:val="en-US" w:eastAsia="zh-CN" w:bidi="ar-SA"/>
              </w:rPr>
            </w:pPr>
            <w:r>
              <w:rPr>
                <w:rFonts w:hint="default" w:ascii="Times New Roman" w:hAnsi="Times New Roman" w:cs="Times New Roman"/>
                <w:b/>
                <w:bCs/>
                <w:lang w:val="en-US" w:eastAsia="zh-CN"/>
              </w:rPr>
              <w:t>分项</w:t>
            </w:r>
            <w:r>
              <w:rPr>
                <w:rFonts w:hint="default" w:ascii="Times New Roman" w:hAnsi="Times New Roman" w:eastAsia="宋体" w:cs="Times New Roman"/>
                <w:b/>
                <w:bCs/>
              </w:rPr>
              <w:t>名称</w:t>
            </w:r>
          </w:p>
        </w:tc>
        <w:tc>
          <w:tcPr>
            <w:tcW w:w="2564" w:type="pct"/>
            <w:tcBorders>
              <w:top w:val="single" w:color="000000" w:sz="4" w:space="0"/>
              <w:left w:val="single" w:color="000000" w:sz="4" w:space="0"/>
              <w:bottom w:val="single" w:color="000000" w:sz="4" w:space="0"/>
              <w:right w:val="single" w:color="000000" w:sz="4" w:space="0"/>
            </w:tcBorders>
            <w:noWrap w:val="0"/>
            <w:tcMar>
              <w:top w:w="85" w:type="dxa"/>
              <w:left w:w="85" w:type="dxa"/>
              <w:bottom w:w="85" w:type="dxa"/>
              <w:right w:w="85" w:type="dxa"/>
            </w:tcMar>
            <w:vAlign w:val="center"/>
          </w:tcPr>
          <w:p w14:paraId="643E7114">
            <w:pPr>
              <w:widowControl/>
              <w:pBdr>
                <w:between w:val="single" w:color="auto" w:sz="4" w:space="0"/>
              </w:pBdr>
              <w:snapToGrid w:val="0"/>
              <w:jc w:val="center"/>
              <w:textAlignment w:val="center"/>
              <w:rPr>
                <w:rFonts w:hint="eastAsia" w:ascii="Times New Roman" w:hAnsi="Times New Roman" w:eastAsia="宋体" w:cs="Times New Roman"/>
                <w:b/>
                <w:bCs/>
                <w:kern w:val="2"/>
                <w:sz w:val="21"/>
                <w:szCs w:val="24"/>
                <w:lang w:val="en-US" w:eastAsia="zh-CN" w:bidi="ar-SA"/>
              </w:rPr>
            </w:pPr>
            <w:r>
              <w:rPr>
                <w:rFonts w:hint="eastAsia" w:ascii="Times New Roman" w:hAnsi="Times New Roman" w:cs="Times New Roman"/>
                <w:b/>
                <w:bCs/>
                <w:lang w:val="en-US" w:eastAsia="zh-CN"/>
              </w:rPr>
              <w:t>服务要求</w:t>
            </w:r>
          </w:p>
        </w:tc>
        <w:tc>
          <w:tcPr>
            <w:tcW w:w="727" w:type="pct"/>
            <w:tcBorders>
              <w:top w:val="single" w:color="000000" w:sz="4" w:space="0"/>
              <w:left w:val="single" w:color="000000" w:sz="4" w:space="0"/>
              <w:bottom w:val="single" w:color="000000" w:sz="4" w:space="0"/>
              <w:right w:val="single" w:color="000000" w:sz="4" w:space="0"/>
            </w:tcBorders>
            <w:noWrap w:val="0"/>
            <w:tcMar>
              <w:top w:w="85" w:type="dxa"/>
              <w:left w:w="85" w:type="dxa"/>
              <w:bottom w:w="85" w:type="dxa"/>
              <w:right w:w="85" w:type="dxa"/>
            </w:tcMar>
            <w:vAlign w:val="center"/>
          </w:tcPr>
          <w:p w14:paraId="0DF8F5BF">
            <w:pPr>
              <w:widowControl/>
              <w:pBdr>
                <w:between w:val="single" w:color="auto" w:sz="4" w:space="0"/>
              </w:pBdr>
              <w:snapToGrid w:val="0"/>
              <w:jc w:val="center"/>
              <w:textAlignment w:val="center"/>
              <w:rPr>
                <w:rFonts w:hint="default" w:ascii="Times New Roman" w:hAnsi="Times New Roman" w:eastAsia="宋体" w:cs="Times New Roman"/>
                <w:b/>
                <w:bCs/>
                <w:kern w:val="2"/>
                <w:sz w:val="21"/>
                <w:szCs w:val="24"/>
                <w:lang w:val="en-US" w:eastAsia="zh-CN" w:bidi="ar-SA"/>
              </w:rPr>
            </w:pPr>
            <w:r>
              <w:rPr>
                <w:rFonts w:hint="default" w:ascii="Times New Roman" w:hAnsi="Times New Roman" w:eastAsia="宋体" w:cs="Times New Roman"/>
                <w:b/>
                <w:bCs/>
              </w:rPr>
              <w:t>规格/数量</w:t>
            </w:r>
          </w:p>
        </w:tc>
        <w:tc>
          <w:tcPr>
            <w:tcW w:w="698" w:type="pct"/>
            <w:tcBorders>
              <w:top w:val="single" w:color="000000" w:sz="4" w:space="0"/>
              <w:left w:val="single" w:color="000000" w:sz="4" w:space="0"/>
              <w:bottom w:val="single" w:color="auto" w:sz="4" w:space="0"/>
              <w:right w:val="single" w:color="000000" w:sz="4" w:space="0"/>
            </w:tcBorders>
            <w:noWrap w:val="0"/>
            <w:tcMar>
              <w:top w:w="85" w:type="dxa"/>
              <w:left w:w="85" w:type="dxa"/>
              <w:bottom w:w="85" w:type="dxa"/>
              <w:right w:w="85" w:type="dxa"/>
            </w:tcMar>
            <w:vAlign w:val="center"/>
          </w:tcPr>
          <w:p w14:paraId="7FDEB01F">
            <w:pPr>
              <w:widowControl/>
              <w:pBdr>
                <w:between w:val="single" w:color="auto" w:sz="4" w:space="0"/>
              </w:pBdr>
              <w:snapToGrid w:val="0"/>
              <w:jc w:val="center"/>
              <w:textAlignment w:val="center"/>
              <w:rPr>
                <w:rFonts w:hint="default" w:ascii="Times New Roman" w:hAnsi="Times New Roman" w:eastAsia="宋体" w:cs="Times New Roman"/>
                <w:b/>
                <w:bCs/>
                <w:kern w:val="2"/>
                <w:sz w:val="21"/>
                <w:szCs w:val="24"/>
                <w:lang w:val="en-US" w:eastAsia="zh-CN" w:bidi="ar-SA"/>
              </w:rPr>
            </w:pPr>
            <w:r>
              <w:rPr>
                <w:rFonts w:hint="default" w:ascii="Times New Roman" w:hAnsi="Times New Roman" w:eastAsia="宋体" w:cs="Times New Roman"/>
                <w:b/>
                <w:bCs/>
              </w:rPr>
              <w:t>费用(万元)</w:t>
            </w:r>
          </w:p>
        </w:tc>
      </w:tr>
      <w:tr w14:paraId="167B0120">
        <w:tblPrEx>
          <w:tblCellMar>
            <w:top w:w="0" w:type="dxa"/>
            <w:left w:w="108" w:type="dxa"/>
            <w:bottom w:w="0" w:type="dxa"/>
            <w:right w:w="108" w:type="dxa"/>
          </w:tblCellMar>
        </w:tblPrEx>
        <w:trPr>
          <w:trHeight w:val="1586" w:hRule="atLeast"/>
        </w:trPr>
        <w:tc>
          <w:tcPr>
            <w:tcW w:w="1008" w:type="pct"/>
            <w:vMerge w:val="restart"/>
            <w:tcBorders>
              <w:top w:val="single" w:color="auto" w:sz="4" w:space="0"/>
              <w:left w:val="single" w:color="auto" w:sz="4" w:space="0"/>
              <w:right w:val="single" w:color="auto" w:sz="4" w:space="0"/>
            </w:tcBorders>
            <w:noWrap w:val="0"/>
            <w:tcMar>
              <w:top w:w="85" w:type="dxa"/>
              <w:left w:w="85" w:type="dxa"/>
              <w:bottom w:w="85" w:type="dxa"/>
              <w:right w:w="85" w:type="dxa"/>
            </w:tcMar>
            <w:vAlign w:val="center"/>
          </w:tcPr>
          <w:p w14:paraId="13049E8D">
            <w:pPr>
              <w:widowControl/>
              <w:pBdr>
                <w:between w:val="single" w:color="auto" w:sz="4" w:space="0"/>
              </w:pBdr>
              <w:snapToGrid w:val="0"/>
              <w:jc w:val="center"/>
              <w:textAlignment w:val="center"/>
              <w:rPr>
                <w:rFonts w:hint="default" w:ascii="Times New Roman" w:hAnsi="Times New Roman" w:eastAsia="方正仿宋_GBK" w:cs="Times New Roman"/>
                <w:lang w:eastAsia="zh-CN"/>
              </w:rPr>
            </w:pPr>
            <w:r>
              <w:rPr>
                <w:rFonts w:hint="default" w:ascii="Times New Roman" w:hAnsi="Times New Roman" w:eastAsia="方正仿宋_GBK" w:cs="Times New Roman"/>
                <w:lang w:val="en-US" w:eastAsia="zh-CN"/>
              </w:rPr>
              <w:t>专题报道</w:t>
            </w:r>
          </w:p>
        </w:tc>
        <w:tc>
          <w:tcPr>
            <w:tcW w:w="2564" w:type="pct"/>
            <w:tcBorders>
              <w:top w:val="single" w:color="000000" w:sz="4" w:space="0"/>
              <w:left w:val="single" w:color="auto" w:sz="4" w:space="0"/>
              <w:bottom w:val="single" w:color="auto" w:sz="4" w:space="0"/>
              <w:right w:val="single" w:color="000000" w:sz="4" w:space="0"/>
            </w:tcBorders>
            <w:noWrap w:val="0"/>
            <w:tcMar>
              <w:top w:w="85" w:type="dxa"/>
              <w:left w:w="85" w:type="dxa"/>
              <w:bottom w:w="85" w:type="dxa"/>
              <w:right w:w="85" w:type="dxa"/>
            </w:tcMar>
            <w:vAlign w:val="center"/>
          </w:tcPr>
          <w:p w14:paraId="3198C021">
            <w:pPr>
              <w:widowControl/>
              <w:numPr>
                <w:ilvl w:val="0"/>
                <w:numId w:val="2"/>
              </w:numPr>
              <w:pBdr>
                <w:between w:val="single" w:color="auto" w:sz="4" w:space="0"/>
              </w:pBdr>
              <w:snapToGrid w:val="0"/>
              <w:textAlignment w:val="center"/>
              <w:rPr>
                <w:rFonts w:hint="default" w:ascii="Times New Roman" w:hAnsi="Times New Roman" w:eastAsia="方正仿宋_GBK" w:cs="Times New Roman"/>
                <w:lang w:eastAsia="zh-CN" w:bidi="ar"/>
              </w:rPr>
            </w:pPr>
            <w:r>
              <w:rPr>
                <w:rFonts w:hint="eastAsia" w:ascii="Times New Roman" w:hAnsi="Times New Roman" w:eastAsia="方正仿宋_GBK" w:cs="Times New Roman"/>
                <w:lang w:val="en-US" w:eastAsia="zh-CN"/>
              </w:rPr>
              <w:t>纸媒发布：</w:t>
            </w:r>
            <w:r>
              <w:rPr>
                <w:rFonts w:hint="default" w:ascii="Times New Roman" w:hAnsi="Times New Roman" w:eastAsia="方正仿宋_GBK" w:cs="Times New Roman"/>
                <w:lang w:eastAsia="zh-CN"/>
              </w:rPr>
              <w:t>形成5篇反映现实工作成就的系列采访专题文章，在省级纸媒平台上发布，均不低于1500字/篇,专题文章总传播量</w:t>
            </w: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发行量</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不少于</w:t>
            </w:r>
            <w:r>
              <w:rPr>
                <w:rFonts w:hint="eastAsia" w:ascii="Times New Roman" w:hAnsi="Times New Roman" w:eastAsia="方正仿宋_GBK" w:cs="Times New Roman"/>
                <w:highlight w:val="none"/>
                <w:lang w:val="en-US" w:eastAsia="zh-CN"/>
              </w:rPr>
              <w:t>30</w:t>
            </w:r>
            <w:r>
              <w:rPr>
                <w:rFonts w:hint="default" w:ascii="Times New Roman" w:hAnsi="Times New Roman" w:eastAsia="方正仿宋_GBK" w:cs="Times New Roman"/>
                <w:lang w:eastAsia="zh-CN"/>
              </w:rPr>
              <w:t>万次。</w:t>
            </w:r>
          </w:p>
        </w:tc>
        <w:tc>
          <w:tcPr>
            <w:tcW w:w="727" w:type="pct"/>
            <w:tcBorders>
              <w:top w:val="single" w:color="000000" w:sz="4" w:space="0"/>
              <w:left w:val="single" w:color="000000" w:sz="4" w:space="0"/>
              <w:bottom w:val="single" w:color="auto" w:sz="4" w:space="0"/>
              <w:right w:val="single" w:color="auto" w:sz="4" w:space="0"/>
            </w:tcBorders>
            <w:noWrap w:val="0"/>
            <w:tcMar>
              <w:top w:w="85" w:type="dxa"/>
              <w:left w:w="85" w:type="dxa"/>
              <w:bottom w:w="85" w:type="dxa"/>
              <w:right w:w="85" w:type="dxa"/>
            </w:tcMar>
            <w:vAlign w:val="center"/>
          </w:tcPr>
          <w:p w14:paraId="43B68F22">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5篇；30万次</w:t>
            </w:r>
          </w:p>
        </w:tc>
        <w:tc>
          <w:tcPr>
            <w:tcW w:w="698" w:type="pct"/>
            <w:tcBorders>
              <w:top w:val="single" w:color="auto" w:sz="4" w:space="0"/>
              <w:left w:val="single" w:color="auto" w:sz="4" w:space="0"/>
              <w:bottom w:val="single" w:color="auto" w:sz="4" w:space="0"/>
              <w:right w:val="single" w:color="auto" w:sz="4" w:space="0"/>
            </w:tcBorders>
            <w:noWrap w:val="0"/>
            <w:tcMar>
              <w:top w:w="85" w:type="dxa"/>
              <w:left w:w="85" w:type="dxa"/>
              <w:bottom w:w="85" w:type="dxa"/>
              <w:right w:w="85" w:type="dxa"/>
            </w:tcMar>
            <w:vAlign w:val="center"/>
          </w:tcPr>
          <w:p w14:paraId="07D4C746">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val="en-US" w:eastAsia="zh-CN"/>
              </w:rPr>
            </w:pPr>
          </w:p>
        </w:tc>
      </w:tr>
      <w:tr w14:paraId="18CCAC42">
        <w:tblPrEx>
          <w:tblCellMar>
            <w:top w:w="0" w:type="dxa"/>
            <w:left w:w="108" w:type="dxa"/>
            <w:bottom w:w="0" w:type="dxa"/>
            <w:right w:w="108" w:type="dxa"/>
          </w:tblCellMar>
        </w:tblPrEx>
        <w:trPr>
          <w:trHeight w:val="1454" w:hRule="atLeast"/>
        </w:trPr>
        <w:tc>
          <w:tcPr>
            <w:tcW w:w="1008" w:type="pct"/>
            <w:vMerge w:val="continue"/>
            <w:tcBorders>
              <w:left w:val="single" w:color="auto" w:sz="4" w:space="0"/>
              <w:bottom w:val="single" w:color="auto" w:sz="4" w:space="0"/>
              <w:right w:val="single" w:color="auto" w:sz="4" w:space="0"/>
            </w:tcBorders>
            <w:noWrap w:val="0"/>
            <w:tcMar>
              <w:top w:w="85" w:type="dxa"/>
              <w:left w:w="85" w:type="dxa"/>
              <w:bottom w:w="85" w:type="dxa"/>
              <w:right w:w="85" w:type="dxa"/>
            </w:tcMar>
            <w:vAlign w:val="center"/>
          </w:tcPr>
          <w:p w14:paraId="1FD1C156">
            <w:pPr>
              <w:widowControl/>
              <w:pBdr>
                <w:between w:val="single" w:color="auto" w:sz="4" w:space="0"/>
              </w:pBdr>
              <w:tabs>
                <w:tab w:val="left" w:pos="312"/>
              </w:tabs>
              <w:snapToGrid w:val="0"/>
              <w:textAlignment w:val="center"/>
            </w:pPr>
          </w:p>
        </w:tc>
        <w:tc>
          <w:tcPr>
            <w:tcW w:w="2564" w:type="pct"/>
            <w:tcBorders>
              <w:top w:val="single" w:color="000000" w:sz="4" w:space="0"/>
              <w:left w:val="single" w:color="auto" w:sz="4" w:space="0"/>
              <w:bottom w:val="single" w:color="auto" w:sz="4" w:space="0"/>
              <w:right w:val="single" w:color="000000" w:sz="4" w:space="0"/>
            </w:tcBorders>
            <w:noWrap w:val="0"/>
            <w:tcMar>
              <w:top w:w="85" w:type="dxa"/>
              <w:left w:w="85" w:type="dxa"/>
              <w:bottom w:w="85" w:type="dxa"/>
              <w:right w:w="85" w:type="dxa"/>
            </w:tcMar>
            <w:vAlign w:val="center"/>
          </w:tcPr>
          <w:p w14:paraId="2E76DD7B">
            <w:pPr>
              <w:widowControl/>
              <w:numPr>
                <w:ilvl w:val="0"/>
                <w:numId w:val="2"/>
              </w:numPr>
              <w:pBdr>
                <w:between w:val="single" w:color="auto" w:sz="4" w:space="0"/>
              </w:pBdr>
              <w:snapToGrid w:val="0"/>
              <w:textAlignment w:val="center"/>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视频发布</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拍摄制作3条视频，每条时长1分钟-3分钟，确保所有视频自主拍摄部分达到2K</w:t>
            </w:r>
            <w:r>
              <w:rPr>
                <w:rFonts w:hint="eastAsia" w:ascii="Times New Roman" w:hAnsi="Times New Roman" w:eastAsia="方正仿宋_GBK" w:cs="Times New Roman"/>
                <w:lang w:val="en-US" w:eastAsia="zh-CN"/>
              </w:rPr>
              <w:t>及</w:t>
            </w:r>
            <w:r>
              <w:rPr>
                <w:rFonts w:hint="default" w:ascii="Times New Roman" w:hAnsi="Times New Roman" w:eastAsia="方正仿宋_GBK" w:cs="Times New Roman"/>
                <w:lang w:eastAsia="zh-CN"/>
              </w:rPr>
              <w:t>以上标准，分辨率应为1920像素×1080像素以上。在省级媒体平台上发布，视频总传播量</w:t>
            </w:r>
            <w:r>
              <w:rPr>
                <w:rFonts w:hint="eastAsia" w:ascii="Times New Roman" w:hAnsi="Times New Roman" w:eastAsia="方正仿宋_GBK" w:cs="Times New Roman"/>
                <w:lang w:eastAsia="zh-CN"/>
              </w:rPr>
              <w:t>（总传播量包括但不限于阅读量、转发量、点赞量的总和）</w:t>
            </w:r>
            <w:r>
              <w:rPr>
                <w:rFonts w:hint="default" w:ascii="Times New Roman" w:hAnsi="Times New Roman" w:eastAsia="方正仿宋_GBK" w:cs="Times New Roman"/>
                <w:lang w:eastAsia="zh-CN"/>
              </w:rPr>
              <w:t>不少于6万次。</w:t>
            </w:r>
          </w:p>
        </w:tc>
        <w:tc>
          <w:tcPr>
            <w:tcW w:w="727" w:type="pct"/>
            <w:tcBorders>
              <w:top w:val="single" w:color="auto" w:sz="4" w:space="0"/>
              <w:left w:val="single" w:color="000000" w:sz="4" w:space="0"/>
              <w:bottom w:val="single" w:color="auto" w:sz="4" w:space="0"/>
              <w:right w:val="single" w:color="auto" w:sz="4" w:space="0"/>
            </w:tcBorders>
            <w:noWrap w:val="0"/>
            <w:tcMar>
              <w:top w:w="85" w:type="dxa"/>
              <w:left w:w="85" w:type="dxa"/>
              <w:bottom w:w="85" w:type="dxa"/>
              <w:right w:w="85" w:type="dxa"/>
            </w:tcMar>
            <w:vAlign w:val="center"/>
          </w:tcPr>
          <w:p w14:paraId="00947FAD">
            <w:pPr>
              <w:widowControl/>
              <w:pBdr>
                <w:between w:val="single" w:color="auto" w:sz="4" w:space="0"/>
              </w:pBdr>
              <w:tabs>
                <w:tab w:val="left" w:pos="312"/>
              </w:tabs>
              <w:snapToGrid w:val="0"/>
              <w:jc w:val="center"/>
              <w:textAlignment w:val="center"/>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3条；6万次</w:t>
            </w:r>
          </w:p>
        </w:tc>
        <w:tc>
          <w:tcPr>
            <w:tcW w:w="698" w:type="pct"/>
            <w:tcBorders>
              <w:top w:val="single" w:color="auto" w:sz="4" w:space="0"/>
              <w:left w:val="single" w:color="auto" w:sz="4" w:space="0"/>
              <w:bottom w:val="single" w:color="auto" w:sz="4" w:space="0"/>
              <w:right w:val="single" w:color="auto" w:sz="4" w:space="0"/>
            </w:tcBorders>
            <w:noWrap w:val="0"/>
            <w:tcMar>
              <w:top w:w="85" w:type="dxa"/>
              <w:left w:w="85" w:type="dxa"/>
              <w:bottom w:w="85" w:type="dxa"/>
              <w:right w:w="85" w:type="dxa"/>
            </w:tcMar>
            <w:vAlign w:val="center"/>
          </w:tcPr>
          <w:p w14:paraId="752E90E4">
            <w:pPr>
              <w:widowControl/>
              <w:pBdr>
                <w:between w:val="single" w:color="auto" w:sz="4" w:space="0"/>
              </w:pBdr>
              <w:tabs>
                <w:tab w:val="left" w:pos="312"/>
              </w:tabs>
              <w:snapToGrid w:val="0"/>
              <w:jc w:val="center"/>
              <w:textAlignment w:val="center"/>
              <w:rPr>
                <w:rFonts w:hint="default" w:ascii="Times New Roman" w:hAnsi="Times New Roman" w:eastAsia="方正仿宋_GBK" w:cs="Times New Roman"/>
                <w:lang w:val="en-US" w:eastAsia="zh-CN"/>
              </w:rPr>
            </w:pPr>
          </w:p>
        </w:tc>
      </w:tr>
      <w:tr w14:paraId="0133A528">
        <w:tblPrEx>
          <w:tblCellMar>
            <w:top w:w="0" w:type="dxa"/>
            <w:left w:w="108" w:type="dxa"/>
            <w:bottom w:w="0" w:type="dxa"/>
            <w:right w:w="108" w:type="dxa"/>
          </w:tblCellMar>
        </w:tblPrEx>
        <w:trPr>
          <w:trHeight w:val="1454" w:hRule="atLeast"/>
        </w:trPr>
        <w:tc>
          <w:tcPr>
            <w:tcW w:w="1008" w:type="pct"/>
            <w:vMerge w:val="restart"/>
            <w:tcBorders>
              <w:left w:val="single" w:color="auto" w:sz="4" w:space="0"/>
              <w:right w:val="single" w:color="auto" w:sz="4" w:space="0"/>
            </w:tcBorders>
            <w:noWrap w:val="0"/>
            <w:tcMar>
              <w:top w:w="85" w:type="dxa"/>
              <w:left w:w="85" w:type="dxa"/>
              <w:bottom w:w="85" w:type="dxa"/>
              <w:right w:w="85" w:type="dxa"/>
            </w:tcMar>
            <w:vAlign w:val="center"/>
          </w:tcPr>
          <w:p w14:paraId="5F99C524">
            <w:pPr>
              <w:widowControl/>
              <w:pBdr>
                <w:between w:val="single" w:color="auto" w:sz="4" w:space="0"/>
              </w:pBdr>
              <w:snapToGrid w:val="0"/>
              <w:jc w:val="center"/>
              <w:textAlignment w:val="center"/>
              <w:rPr>
                <w:rFonts w:hint="default" w:ascii="Times New Roman" w:hAnsi="Times New Roman" w:eastAsia="方正仿宋_GBK" w:cs="Times New Roman"/>
                <w:lang w:eastAsia="zh-CN"/>
              </w:rPr>
            </w:pPr>
            <w:r>
              <w:rPr>
                <w:rFonts w:hint="default" w:ascii="Times New Roman" w:hAnsi="Times New Roman" w:eastAsia="方正仿宋_GBK" w:cs="Times New Roman"/>
                <w:lang w:val="en-US" w:eastAsia="zh-CN"/>
              </w:rPr>
              <w:t>新媒体发布</w:t>
            </w:r>
          </w:p>
        </w:tc>
        <w:tc>
          <w:tcPr>
            <w:tcW w:w="2564" w:type="pct"/>
            <w:tcBorders>
              <w:top w:val="single" w:color="000000" w:sz="4" w:space="0"/>
              <w:left w:val="single" w:color="auto" w:sz="4" w:space="0"/>
              <w:bottom w:val="single" w:color="auto" w:sz="4" w:space="0"/>
              <w:right w:val="single" w:color="000000" w:sz="4" w:space="0"/>
            </w:tcBorders>
            <w:noWrap w:val="0"/>
            <w:tcMar>
              <w:top w:w="85" w:type="dxa"/>
              <w:left w:w="85" w:type="dxa"/>
              <w:bottom w:w="85" w:type="dxa"/>
              <w:right w:w="85" w:type="dxa"/>
            </w:tcMar>
            <w:vAlign w:val="center"/>
          </w:tcPr>
          <w:p w14:paraId="326FE975">
            <w:pPr>
              <w:widowControl/>
              <w:numPr>
                <w:ilvl w:val="0"/>
                <w:numId w:val="0"/>
              </w:numPr>
              <w:pBdr>
                <w:between w:val="single" w:color="auto" w:sz="4" w:space="0"/>
              </w:pBdr>
              <w:snapToGrid w:val="0"/>
              <w:textAlignment w:val="center"/>
              <w:rPr>
                <w:rFonts w:hint="default" w:ascii="Times New Roman" w:hAnsi="Times New Roman" w:eastAsia="方正仿宋_GBK" w:cs="Times New Roman"/>
                <w:lang w:eastAsia="zh-CN"/>
              </w:rPr>
            </w:pPr>
            <w:r>
              <w:rPr>
                <w:rFonts w:hint="eastAsia" w:ascii="Times New Roman" w:hAnsi="Times New Roman" w:eastAsia="方正仿宋_GBK" w:cs="Times New Roman"/>
                <w:lang w:val="en-US" w:eastAsia="zh-CN"/>
              </w:rPr>
              <w:t>1.</w:t>
            </w:r>
            <w:r>
              <w:rPr>
                <w:rFonts w:hint="default" w:ascii="Times New Roman" w:hAnsi="Times New Roman" w:eastAsia="方正仿宋_GBK" w:cs="Times New Roman"/>
                <w:lang w:eastAsia="zh-CN"/>
              </w:rPr>
              <w:t>网站发布</w:t>
            </w:r>
            <w:r>
              <w:rPr>
                <w:rFonts w:hint="eastAsia" w:ascii="Times New Roman" w:hAnsi="Times New Roman" w:eastAsia="方正仿宋_GBK" w:cs="Times New Roman"/>
                <w:lang w:eastAsia="zh-CN"/>
              </w:rPr>
              <w:t>：形成3篇原创图文报道，在省级以上新闻网站发布，不超过2000字/篇，总传播量（总传播量包括但不限于阅读量、转发量、点赞量的总和）不少于6万次。</w:t>
            </w:r>
          </w:p>
        </w:tc>
        <w:tc>
          <w:tcPr>
            <w:tcW w:w="727" w:type="pct"/>
            <w:tcBorders>
              <w:top w:val="single" w:color="auto" w:sz="4" w:space="0"/>
              <w:left w:val="single" w:color="000000" w:sz="4" w:space="0"/>
              <w:bottom w:val="single" w:color="000000" w:sz="4" w:space="0"/>
              <w:right w:val="single" w:color="auto" w:sz="4" w:space="0"/>
            </w:tcBorders>
            <w:noWrap w:val="0"/>
            <w:tcMar>
              <w:top w:w="85" w:type="dxa"/>
              <w:left w:w="85" w:type="dxa"/>
              <w:bottom w:w="85" w:type="dxa"/>
              <w:right w:w="85" w:type="dxa"/>
            </w:tcMar>
            <w:vAlign w:val="center"/>
          </w:tcPr>
          <w:p w14:paraId="37087842">
            <w:pPr>
              <w:widowControl/>
              <w:pBdr>
                <w:between w:val="single" w:color="auto" w:sz="4" w:space="0"/>
              </w:pBdr>
              <w:tabs>
                <w:tab w:val="left" w:pos="312"/>
              </w:tabs>
              <w:snapToGrid w:val="0"/>
              <w:jc w:val="center"/>
              <w:textAlignment w:val="center"/>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3篇；6万次</w:t>
            </w:r>
          </w:p>
        </w:tc>
        <w:tc>
          <w:tcPr>
            <w:tcW w:w="698" w:type="pct"/>
            <w:tcBorders>
              <w:top w:val="single" w:color="auto" w:sz="4" w:space="0"/>
              <w:left w:val="single" w:color="auto" w:sz="4" w:space="0"/>
              <w:bottom w:val="single" w:color="auto" w:sz="4" w:space="0"/>
              <w:right w:val="single" w:color="auto" w:sz="4" w:space="0"/>
            </w:tcBorders>
            <w:noWrap w:val="0"/>
            <w:tcMar>
              <w:top w:w="85" w:type="dxa"/>
              <w:left w:w="85" w:type="dxa"/>
              <w:bottom w:w="85" w:type="dxa"/>
              <w:right w:w="85" w:type="dxa"/>
            </w:tcMar>
            <w:vAlign w:val="center"/>
          </w:tcPr>
          <w:p w14:paraId="23B35C56">
            <w:pPr>
              <w:widowControl/>
              <w:pBdr>
                <w:between w:val="single" w:color="auto" w:sz="4" w:space="0"/>
              </w:pBdr>
              <w:tabs>
                <w:tab w:val="left" w:pos="312"/>
              </w:tabs>
              <w:snapToGrid w:val="0"/>
              <w:textAlignment w:val="center"/>
              <w:rPr>
                <w:rFonts w:hint="default" w:ascii="Times New Roman" w:hAnsi="Times New Roman" w:eastAsia="方正仿宋_GBK" w:cs="Times New Roman"/>
                <w:lang w:eastAsia="zh-CN"/>
              </w:rPr>
            </w:pPr>
          </w:p>
        </w:tc>
      </w:tr>
      <w:tr w14:paraId="3FD63641">
        <w:tblPrEx>
          <w:tblCellMar>
            <w:top w:w="0" w:type="dxa"/>
            <w:left w:w="108" w:type="dxa"/>
            <w:bottom w:w="0" w:type="dxa"/>
            <w:right w:w="108" w:type="dxa"/>
          </w:tblCellMar>
        </w:tblPrEx>
        <w:trPr>
          <w:trHeight w:val="664" w:hRule="atLeast"/>
        </w:trPr>
        <w:tc>
          <w:tcPr>
            <w:tcW w:w="1008" w:type="pct"/>
            <w:vMerge w:val="continue"/>
            <w:tcBorders>
              <w:left w:val="single" w:color="auto" w:sz="4" w:space="0"/>
              <w:bottom w:val="single" w:color="auto" w:sz="4" w:space="0"/>
              <w:right w:val="single" w:color="auto" w:sz="4" w:space="0"/>
            </w:tcBorders>
            <w:noWrap w:val="0"/>
            <w:tcMar>
              <w:top w:w="85" w:type="dxa"/>
              <w:left w:w="85" w:type="dxa"/>
              <w:bottom w:w="85" w:type="dxa"/>
              <w:right w:w="85" w:type="dxa"/>
            </w:tcMar>
            <w:vAlign w:val="center"/>
          </w:tcPr>
          <w:p w14:paraId="7272D145">
            <w:pPr>
              <w:widowControl/>
              <w:pBdr>
                <w:between w:val="single" w:color="auto" w:sz="4" w:space="0"/>
              </w:pBdr>
              <w:snapToGrid w:val="0"/>
              <w:jc w:val="center"/>
              <w:textAlignment w:val="center"/>
              <w:rPr>
                <w:rFonts w:hint="default" w:ascii="Times New Roman" w:hAnsi="Times New Roman" w:eastAsia="方正仿宋_GBK" w:cs="Times New Roman"/>
                <w:lang w:eastAsia="zh-CN"/>
              </w:rPr>
            </w:pPr>
          </w:p>
        </w:tc>
        <w:tc>
          <w:tcPr>
            <w:tcW w:w="2564" w:type="pct"/>
            <w:tcBorders>
              <w:top w:val="single" w:color="000000" w:sz="4" w:space="0"/>
              <w:left w:val="single" w:color="auto" w:sz="4" w:space="0"/>
              <w:bottom w:val="single" w:color="auto" w:sz="4" w:space="0"/>
              <w:right w:val="single" w:color="000000" w:sz="4" w:space="0"/>
            </w:tcBorders>
            <w:noWrap w:val="0"/>
            <w:tcMar>
              <w:top w:w="85" w:type="dxa"/>
              <w:left w:w="85" w:type="dxa"/>
              <w:bottom w:w="85" w:type="dxa"/>
              <w:right w:w="85" w:type="dxa"/>
            </w:tcMar>
            <w:vAlign w:val="center"/>
          </w:tcPr>
          <w:p w14:paraId="3E24A5A5">
            <w:pPr>
              <w:widowControl/>
              <w:numPr>
                <w:ilvl w:val="0"/>
                <w:numId w:val="0"/>
              </w:numPr>
              <w:pBdr>
                <w:between w:val="single" w:color="auto" w:sz="4" w:space="0"/>
              </w:pBdr>
              <w:snapToGrid w:val="0"/>
              <w:textAlignment w:val="center"/>
              <w:rPr>
                <w:rFonts w:hint="default" w:ascii="Times New Roman" w:hAnsi="Times New Roman" w:eastAsia="方正仿宋_GBK" w:cs="Times New Roman"/>
                <w:lang w:eastAsia="zh-CN" w:bidi="ar"/>
              </w:rPr>
            </w:pPr>
            <w:r>
              <w:rPr>
                <w:rFonts w:hint="eastAsia" w:ascii="Times New Roman" w:hAnsi="Times New Roman" w:eastAsia="方正仿宋_GBK" w:cs="Times New Roman"/>
                <w:lang w:val="en-US" w:eastAsia="zh-CN" w:bidi="ar"/>
              </w:rPr>
              <w:t>2.</w:t>
            </w:r>
            <w:r>
              <w:rPr>
                <w:rFonts w:hint="default" w:ascii="Times New Roman" w:hAnsi="Times New Roman" w:eastAsia="方正仿宋_GBK" w:cs="Times New Roman"/>
                <w:lang w:eastAsia="zh-CN" w:bidi="ar"/>
              </w:rPr>
              <w:t>对成都生态环境保护工作的特色亮点内容进行挖掘提炼和发布，在省级媒体平台发布14篇新媒体专题文章，总传播量（总传播量包括但不限于阅读量、转发量、点赞量的总和）不少于10万次。</w:t>
            </w:r>
          </w:p>
        </w:tc>
        <w:tc>
          <w:tcPr>
            <w:tcW w:w="727" w:type="pct"/>
            <w:tcBorders>
              <w:top w:val="single" w:color="000000" w:sz="4" w:space="0"/>
              <w:left w:val="single" w:color="000000" w:sz="4" w:space="0"/>
              <w:bottom w:val="single" w:color="000000" w:sz="4" w:space="0"/>
              <w:right w:val="single" w:color="auto" w:sz="4" w:space="0"/>
            </w:tcBorders>
            <w:noWrap w:val="0"/>
            <w:tcMar>
              <w:top w:w="85" w:type="dxa"/>
              <w:left w:w="85" w:type="dxa"/>
              <w:bottom w:w="85" w:type="dxa"/>
              <w:right w:w="85" w:type="dxa"/>
            </w:tcMar>
            <w:vAlign w:val="center"/>
          </w:tcPr>
          <w:p w14:paraId="68B54729">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14篇；10万次</w:t>
            </w:r>
          </w:p>
        </w:tc>
        <w:tc>
          <w:tcPr>
            <w:tcW w:w="698" w:type="pct"/>
            <w:tcBorders>
              <w:top w:val="single" w:color="auto" w:sz="4" w:space="0"/>
              <w:left w:val="single" w:color="auto" w:sz="4" w:space="0"/>
              <w:bottom w:val="single" w:color="auto" w:sz="4" w:space="0"/>
              <w:right w:val="single" w:color="auto" w:sz="4" w:space="0"/>
            </w:tcBorders>
            <w:noWrap w:val="0"/>
            <w:tcMar>
              <w:top w:w="85" w:type="dxa"/>
              <w:left w:w="85" w:type="dxa"/>
              <w:bottom w:w="85" w:type="dxa"/>
              <w:right w:w="85" w:type="dxa"/>
            </w:tcMar>
            <w:vAlign w:val="center"/>
          </w:tcPr>
          <w:p w14:paraId="2B61366D">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eastAsia="zh-CN"/>
              </w:rPr>
            </w:pPr>
          </w:p>
        </w:tc>
      </w:tr>
      <w:tr w14:paraId="21311B2D">
        <w:tblPrEx>
          <w:tblCellMar>
            <w:top w:w="0" w:type="dxa"/>
            <w:left w:w="108" w:type="dxa"/>
            <w:bottom w:w="0" w:type="dxa"/>
            <w:right w:w="108" w:type="dxa"/>
          </w:tblCellMar>
        </w:tblPrEx>
        <w:trPr>
          <w:trHeight w:val="852" w:hRule="atLeast"/>
        </w:trPr>
        <w:tc>
          <w:tcPr>
            <w:tcW w:w="1008" w:type="pct"/>
            <w:tcBorders>
              <w:top w:val="single" w:color="auto" w:sz="4" w:space="0"/>
              <w:left w:val="single" w:color="000000" w:sz="4" w:space="0"/>
              <w:bottom w:val="single" w:color="auto" w:sz="4" w:space="0"/>
              <w:right w:val="single" w:color="000000" w:sz="4" w:space="0"/>
            </w:tcBorders>
            <w:noWrap w:val="0"/>
            <w:tcMar>
              <w:top w:w="85" w:type="dxa"/>
              <w:left w:w="85" w:type="dxa"/>
              <w:bottom w:w="85" w:type="dxa"/>
              <w:right w:w="85" w:type="dxa"/>
            </w:tcMar>
            <w:vAlign w:val="center"/>
          </w:tcPr>
          <w:p w14:paraId="4F7C3CA6">
            <w:pPr>
              <w:widowControl/>
              <w:pBdr>
                <w:between w:val="single" w:color="auto" w:sz="4" w:space="0"/>
              </w:pBdr>
              <w:snapToGrid w:val="0"/>
              <w:jc w:val="center"/>
              <w:textAlignment w:val="center"/>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转载要求</w:t>
            </w:r>
          </w:p>
        </w:tc>
        <w:tc>
          <w:tcPr>
            <w:tcW w:w="2564" w:type="pct"/>
            <w:tcBorders>
              <w:top w:val="single" w:color="000000" w:sz="4" w:space="0"/>
              <w:left w:val="single" w:color="000000" w:sz="4" w:space="0"/>
              <w:bottom w:val="single" w:color="auto" w:sz="4" w:space="0"/>
              <w:right w:val="single" w:color="000000" w:sz="4" w:space="0"/>
            </w:tcBorders>
            <w:noWrap w:val="0"/>
            <w:tcMar>
              <w:top w:w="85" w:type="dxa"/>
              <w:left w:w="85" w:type="dxa"/>
              <w:bottom w:w="85" w:type="dxa"/>
              <w:right w:w="85" w:type="dxa"/>
            </w:tcMar>
            <w:vAlign w:val="center"/>
          </w:tcPr>
          <w:p w14:paraId="728A920B">
            <w:pPr>
              <w:widowControl/>
              <w:pBdr>
                <w:between w:val="single" w:color="auto" w:sz="4" w:space="0"/>
              </w:pBdr>
              <w:snapToGrid w:val="0"/>
              <w:textAlignment w:val="center"/>
              <w:rPr>
                <w:rFonts w:hint="default" w:ascii="Times New Roman" w:hAnsi="Times New Roman" w:eastAsia="方正仿宋_GBK" w:cs="Times New Roman"/>
                <w:lang w:eastAsia="zh-CN" w:bidi="ar"/>
              </w:rPr>
            </w:pPr>
            <w:r>
              <w:rPr>
                <w:rFonts w:hint="default" w:ascii="Times New Roman" w:hAnsi="Times New Roman" w:eastAsia="方正仿宋_GBK" w:cs="Times New Roman"/>
                <w:lang w:val="en-US" w:eastAsia="zh-CN" w:bidi="ar"/>
              </w:rPr>
              <w:t>协调组织不少于5家新媒体平台进行转载，</w:t>
            </w:r>
            <w:r>
              <w:rPr>
                <w:rFonts w:hint="eastAsia" w:ascii="Times New Roman" w:hAnsi="Times New Roman" w:eastAsia="方正仿宋_GBK" w:cs="Times New Roman"/>
                <w:lang w:val="en-US" w:eastAsia="zh-CN" w:bidi="ar"/>
              </w:rPr>
              <w:t>共计</w:t>
            </w:r>
            <w:r>
              <w:rPr>
                <w:rFonts w:hint="default" w:ascii="Times New Roman" w:hAnsi="Times New Roman" w:eastAsia="方正仿宋_GBK" w:cs="Times New Roman"/>
                <w:lang w:val="en-US" w:eastAsia="zh-CN" w:bidi="ar"/>
              </w:rPr>
              <w:t>不少于20条次。</w:t>
            </w:r>
          </w:p>
        </w:tc>
        <w:tc>
          <w:tcPr>
            <w:tcW w:w="727" w:type="pct"/>
            <w:tcBorders>
              <w:top w:val="single" w:color="000000" w:sz="4" w:space="0"/>
              <w:left w:val="single" w:color="000000" w:sz="4" w:space="0"/>
              <w:bottom w:val="single" w:color="auto" w:sz="4" w:space="0"/>
              <w:right w:val="single" w:color="000000" w:sz="4" w:space="0"/>
            </w:tcBorders>
            <w:noWrap w:val="0"/>
            <w:tcMar>
              <w:top w:w="85" w:type="dxa"/>
              <w:left w:w="85" w:type="dxa"/>
              <w:bottom w:w="85" w:type="dxa"/>
              <w:right w:w="85" w:type="dxa"/>
            </w:tcMar>
            <w:vAlign w:val="center"/>
          </w:tcPr>
          <w:p w14:paraId="318FBEAD">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5家；20条次</w:t>
            </w:r>
          </w:p>
        </w:tc>
        <w:tc>
          <w:tcPr>
            <w:tcW w:w="698" w:type="pct"/>
            <w:tcBorders>
              <w:top w:val="single" w:color="auto" w:sz="4" w:space="0"/>
              <w:left w:val="single" w:color="000000" w:sz="4" w:space="0"/>
              <w:bottom w:val="single" w:color="auto" w:sz="4" w:space="0"/>
              <w:right w:val="single" w:color="000000" w:sz="4" w:space="0"/>
            </w:tcBorders>
            <w:noWrap w:val="0"/>
            <w:tcMar>
              <w:top w:w="85" w:type="dxa"/>
              <w:left w:w="85" w:type="dxa"/>
              <w:bottom w:w="85" w:type="dxa"/>
              <w:right w:w="85" w:type="dxa"/>
            </w:tcMar>
            <w:vAlign w:val="center"/>
          </w:tcPr>
          <w:p w14:paraId="4380B57C">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eastAsia="zh-CN"/>
              </w:rPr>
            </w:pPr>
          </w:p>
        </w:tc>
      </w:tr>
      <w:tr w14:paraId="3B79B2D4">
        <w:tblPrEx>
          <w:tblCellMar>
            <w:top w:w="0" w:type="dxa"/>
            <w:left w:w="108" w:type="dxa"/>
            <w:bottom w:w="0" w:type="dxa"/>
            <w:right w:w="108" w:type="dxa"/>
          </w:tblCellMar>
        </w:tblPrEx>
        <w:trPr>
          <w:trHeight w:val="536" w:hRule="atLeast"/>
        </w:trPr>
        <w:tc>
          <w:tcPr>
            <w:tcW w:w="5000" w:type="pct"/>
            <w:gridSpan w:val="4"/>
            <w:tcBorders>
              <w:top w:val="single" w:color="auto" w:sz="4" w:space="0"/>
              <w:left w:val="single" w:color="000000" w:sz="4" w:space="0"/>
              <w:bottom w:val="single" w:color="auto" w:sz="4" w:space="0"/>
              <w:right w:val="single" w:color="auto" w:sz="4" w:space="0"/>
            </w:tcBorders>
            <w:noWrap w:val="0"/>
            <w:tcMar>
              <w:top w:w="85" w:type="dxa"/>
              <w:left w:w="85" w:type="dxa"/>
              <w:bottom w:w="85" w:type="dxa"/>
              <w:right w:w="85" w:type="dxa"/>
            </w:tcMar>
            <w:vAlign w:val="center"/>
          </w:tcPr>
          <w:p w14:paraId="3DF06C54">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val="en-US" w:eastAsia="zh-CN"/>
              </w:rPr>
            </w:pPr>
            <w:r>
              <w:rPr>
                <w:rFonts w:hint="eastAsia" w:ascii="Times New Roman" w:hAnsi="Times New Roman" w:eastAsia="方正仿宋_GBK" w:cs="Times New Roman"/>
                <w:sz w:val="28"/>
                <w:szCs w:val="36"/>
                <w:lang w:val="en-US" w:eastAsia="zh-CN"/>
              </w:rPr>
              <w:t>商务要求</w:t>
            </w:r>
          </w:p>
        </w:tc>
      </w:tr>
      <w:tr w14:paraId="0E1AF288">
        <w:tblPrEx>
          <w:tblCellMar>
            <w:top w:w="0" w:type="dxa"/>
            <w:left w:w="108" w:type="dxa"/>
            <w:bottom w:w="0" w:type="dxa"/>
            <w:right w:w="108" w:type="dxa"/>
          </w:tblCellMar>
        </w:tblPrEx>
        <w:trPr>
          <w:trHeight w:val="536" w:hRule="atLeast"/>
        </w:trPr>
        <w:tc>
          <w:tcPr>
            <w:tcW w:w="5000" w:type="pct"/>
            <w:gridSpan w:val="4"/>
            <w:tcBorders>
              <w:top w:val="single" w:color="auto" w:sz="4" w:space="0"/>
              <w:left w:val="single" w:color="000000" w:sz="4" w:space="0"/>
              <w:bottom w:val="single" w:color="auto" w:sz="4" w:space="0"/>
              <w:right w:val="single" w:color="auto" w:sz="4" w:space="0"/>
            </w:tcBorders>
            <w:noWrap w:val="0"/>
            <w:tcMar>
              <w:top w:w="85" w:type="dxa"/>
              <w:left w:w="85" w:type="dxa"/>
              <w:bottom w:w="85" w:type="dxa"/>
              <w:right w:w="85" w:type="dxa"/>
            </w:tcMar>
            <w:vAlign w:val="center"/>
          </w:tcPr>
          <w:p w14:paraId="2DB1C7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sz w:val="24"/>
                <w:szCs w:val="24"/>
                <w:highlight w:val="none"/>
                <w:lang w:val="en-US" w:eastAsia="zh-CN"/>
              </w:rPr>
              <w:t>（一）服务期限：</w:t>
            </w:r>
            <w:r>
              <w:rPr>
                <w:rFonts w:hint="default" w:ascii="Times New Roman" w:hAnsi="Times New Roman" w:eastAsia="方正仿宋_GBK" w:cs="Times New Roman"/>
                <w:color w:val="auto"/>
                <w:kern w:val="2"/>
                <w:sz w:val="24"/>
                <w:szCs w:val="24"/>
                <w:highlight w:val="none"/>
                <w:lang w:val="en-US" w:eastAsia="zh-CN" w:bidi="ar-SA"/>
              </w:rPr>
              <w:t>合同签订生效之日起一年内。</w:t>
            </w:r>
          </w:p>
          <w:p w14:paraId="4C5572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（二）服务地点：成都市。</w:t>
            </w:r>
          </w:p>
          <w:p w14:paraId="7379F2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（三）支付方式：</w:t>
            </w:r>
          </w:p>
          <w:p w14:paraId="288210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1.本合同签订生效后，且收到</w:t>
            </w:r>
            <w:r>
              <w:rPr>
                <w:rFonts w:hint="eastAsia"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lang w:val="en-US" w:eastAsia="zh-CN"/>
              </w:rPr>
              <w:t>提供的真实有效、合法等额发票、其他相关支付凭证资料及付款申请后10个工作日内支付合同总金额的70%；</w:t>
            </w:r>
          </w:p>
          <w:p w14:paraId="2F6F4B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lang w:val="en-US" w:eastAsia="zh-CN"/>
              </w:rPr>
              <w:t>.合同服务期满，</w:t>
            </w:r>
            <w:r>
              <w:rPr>
                <w:rFonts w:hint="eastAsia"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lang w:val="en-US" w:eastAsia="zh-CN"/>
              </w:rPr>
              <w:t>完成全部合同服务内容并经</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验收合格后，</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收到</w:t>
            </w:r>
            <w:r>
              <w:rPr>
                <w:rFonts w:hint="eastAsia"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lang w:val="en-US" w:eastAsia="zh-CN"/>
              </w:rPr>
              <w:t>提供的真实有效、合法等额发票、其他相关支付凭证资料及付款申请后10个工作日内支付合同总金额的</w:t>
            </w:r>
            <w:r>
              <w:rPr>
                <w:rFonts w:hint="eastAsia"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lang w:val="en-US" w:eastAsia="zh-CN"/>
              </w:rPr>
              <w:t>0%。</w:t>
            </w:r>
          </w:p>
          <w:p w14:paraId="43EF0F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lang w:val="en-US" w:eastAsia="zh-CN"/>
              </w:rPr>
              <w:t>.</w:t>
            </w:r>
            <w:r>
              <w:rPr>
                <w:rFonts w:hint="eastAsia"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lang w:val="en-US" w:eastAsia="zh-CN"/>
              </w:rPr>
              <w:t>未按照前述规定按时提供付款所需票据凭证资料的，</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有权延迟或拒绝支付价款，并且不承担任何违约责任。</w:t>
            </w:r>
          </w:p>
          <w:p w14:paraId="3840E343">
            <w:pPr>
              <w:keepNext w:val="0"/>
              <w:keepLines w:val="0"/>
              <w:pageBreakBefore w:val="0"/>
              <w:widowControl w:val="0"/>
              <w:kinsoku/>
              <w:overflowPunct/>
              <w:autoSpaceDE w:val="0"/>
              <w:autoSpaceDN w:val="0"/>
              <w:bidi w:val="0"/>
              <w:adjustRightInd w:val="0"/>
              <w:snapToGrid w:val="0"/>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lang w:val="en-US" w:eastAsia="zh-CN"/>
              </w:rPr>
              <w:t>.</w:t>
            </w:r>
            <w:r>
              <w:rPr>
                <w:rFonts w:hint="eastAsia"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lang w:val="en-US" w:eastAsia="zh-CN"/>
              </w:rPr>
              <w:t>变更收款账户的，应当在变更后1个工作日内书面通知</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，因</w:t>
            </w:r>
            <w:r>
              <w:rPr>
                <w:rFonts w:hint="eastAsia"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lang w:val="en-US" w:eastAsia="zh-CN"/>
              </w:rPr>
              <w:t>未及时通知导致的不利后果，由</w:t>
            </w:r>
            <w:r>
              <w:rPr>
                <w:rFonts w:hint="eastAsia"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lang w:val="en-US" w:eastAsia="zh-CN"/>
              </w:rPr>
              <w:t>自行承担。在变更通知到达</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前，</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按原合同约定的账户信息进行价款支付的，视为已完成支付义务。</w:t>
            </w:r>
          </w:p>
          <w:p w14:paraId="0B15D2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（四）履约验收</w:t>
            </w:r>
          </w:p>
          <w:p w14:paraId="6A88E0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本项目按照《财政部关于进一步加强政府采购需求和履约验收管理的指导意见》（财库〔2016〕205号）、《财政部关于印发〈政府采购需求管理办法〉的通知》（财库〔2021〕22号）相关规定，及</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内控制度要求，由</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组织验收小组，结合采购文件、投标文件及采购合同条款进行验收。</w:t>
            </w:r>
          </w:p>
          <w:p w14:paraId="4F1667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履约验收方案：</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796"/>
              <w:gridCol w:w="5513"/>
            </w:tblGrid>
            <w:tr w14:paraId="7D00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ign w:val="center"/>
                </w:tcPr>
                <w:p w14:paraId="300ECAFA">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履约验收方案</w:t>
                  </w:r>
                </w:p>
              </w:tc>
              <w:tc>
                <w:tcPr>
                  <w:tcW w:w="1796" w:type="dxa"/>
                  <w:noWrap/>
                  <w:vAlign w:val="center"/>
                </w:tcPr>
                <w:p w14:paraId="4F6B812D">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履约验收</w:t>
                  </w:r>
                </w:p>
                <w:p w14:paraId="3BAC51A5">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rPr>
                  </w:pPr>
                  <w:r>
                    <w:rPr>
                      <w:rFonts w:hint="default" w:ascii="Times New Roman" w:hAnsi="Times New Roman" w:eastAsia="方正仿宋_GBK" w:cs="Times New Roman"/>
                      <w:color w:val="auto"/>
                      <w:sz w:val="24"/>
                      <w:highlight w:val="none"/>
                    </w:rPr>
                    <w:t>的主体</w:t>
                  </w:r>
                </w:p>
              </w:tc>
              <w:tc>
                <w:tcPr>
                  <w:tcW w:w="5513" w:type="dxa"/>
                  <w:noWrap/>
                  <w:vAlign w:val="center"/>
                </w:tcPr>
                <w:p w14:paraId="61E9905B">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lang w:eastAsia="zh-CN"/>
                    </w:rPr>
                  </w:pPr>
                  <w:r>
                    <w:rPr>
                      <w:rFonts w:hint="default" w:ascii="Times New Roman" w:hAnsi="Times New Roman" w:eastAsia="方正仿宋_GBK" w:cs="Times New Roman"/>
                      <w:i w:val="0"/>
                      <w:iCs w:val="0"/>
                      <w:color w:val="auto"/>
                      <w:sz w:val="24"/>
                      <w:highlight w:val="none"/>
                      <w:lang w:val="en-US" w:eastAsia="zh-CN"/>
                    </w:rPr>
                    <w:t>成都市生态环境宣传教育与对外交流合作中心</w:t>
                  </w:r>
                </w:p>
              </w:tc>
            </w:tr>
            <w:tr w14:paraId="5224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ign w:val="center"/>
                </w:tcPr>
                <w:p w14:paraId="76953009">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lang w:eastAsia="zh-CN"/>
                    </w:rPr>
                  </w:pPr>
                </w:p>
              </w:tc>
              <w:tc>
                <w:tcPr>
                  <w:tcW w:w="1796" w:type="dxa"/>
                  <w:noWrap/>
                  <w:vAlign w:val="center"/>
                </w:tcPr>
                <w:p w14:paraId="0ED5F439">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邀请验收</w:t>
                  </w:r>
                </w:p>
                <w:p w14:paraId="3F6BFD84">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对象</w:t>
                  </w:r>
                </w:p>
              </w:tc>
              <w:tc>
                <w:tcPr>
                  <w:tcW w:w="5513" w:type="dxa"/>
                  <w:noWrap/>
                  <w:vAlign w:val="center"/>
                </w:tcPr>
                <w:p w14:paraId="338A429B">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rPr>
                    <w:sym w:font="Wingdings" w:char="00A8"/>
                  </w:r>
                  <w:r>
                    <w:rPr>
                      <w:rFonts w:hint="default" w:ascii="Times New Roman" w:hAnsi="Times New Roman" w:eastAsia="方正仿宋_GBK" w:cs="Times New Roman"/>
                      <w:color w:val="auto"/>
                      <w:sz w:val="24"/>
                      <w:highlight w:val="none"/>
                      <w:lang w:eastAsia="zh-CN"/>
                    </w:rPr>
                    <w:t xml:space="preserve">采购代理机构           </w:t>
                  </w:r>
                  <w:r>
                    <w:rPr>
                      <w:rFonts w:hint="default" w:ascii="Times New Roman" w:hAnsi="Times New Roman" w:eastAsia="方正仿宋_GBK" w:cs="Times New Roman"/>
                      <w:color w:val="auto"/>
                      <w:sz w:val="24"/>
                      <w:highlight w:val="none"/>
                    </w:rPr>
                    <w:sym w:font="Wingdings" w:char="F0A8"/>
                  </w:r>
                  <w:r>
                    <w:rPr>
                      <w:rFonts w:hint="default" w:ascii="Times New Roman" w:hAnsi="Times New Roman" w:eastAsia="方正仿宋_GBK" w:cs="Times New Roman"/>
                      <w:color w:val="auto"/>
                      <w:sz w:val="24"/>
                      <w:highlight w:val="none"/>
                      <w:lang w:eastAsia="zh-CN"/>
                    </w:rPr>
                    <w:t>服务对象</w:t>
                  </w:r>
                </w:p>
                <w:p w14:paraId="6C8651A9">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rPr>
                    <w:sym w:font="Wingdings" w:char="F0A8"/>
                  </w:r>
                  <w:r>
                    <w:rPr>
                      <w:rFonts w:hint="default" w:ascii="Times New Roman" w:hAnsi="Times New Roman" w:eastAsia="方正仿宋_GBK" w:cs="Times New Roman"/>
                      <w:color w:val="auto"/>
                      <w:sz w:val="24"/>
                      <w:highlight w:val="none"/>
                      <w:lang w:eastAsia="zh-CN"/>
                    </w:rPr>
                    <w:t xml:space="preserve">参加本项目的其他供应商 </w:t>
                  </w:r>
                  <w:r>
                    <w:rPr>
                      <w:rFonts w:hint="default" w:ascii="Times New Roman" w:hAnsi="Times New Roman" w:eastAsia="方正仿宋_GBK" w:cs="Times New Roman"/>
                      <w:color w:val="auto"/>
                      <w:sz w:val="24"/>
                      <w:highlight w:val="none"/>
                    </w:rPr>
                    <w:sym w:font="Wingdings" w:char="00FE"/>
                  </w:r>
                  <w:r>
                    <w:rPr>
                      <w:rFonts w:hint="default" w:ascii="Times New Roman" w:hAnsi="Times New Roman" w:eastAsia="方正仿宋_GBK" w:cs="Times New Roman"/>
                      <w:color w:val="auto"/>
                      <w:sz w:val="24"/>
                      <w:highlight w:val="none"/>
                      <w:lang w:eastAsia="zh-CN"/>
                    </w:rPr>
                    <w:t xml:space="preserve">专家  </w:t>
                  </w:r>
                </w:p>
                <w:p w14:paraId="682083CF">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i/>
                      <w:iCs/>
                      <w:color w:val="auto"/>
                      <w:sz w:val="24"/>
                      <w:highlight w:val="none"/>
                      <w:u w:val="single"/>
                      <w:lang w:eastAsia="zh-CN"/>
                    </w:rPr>
                  </w:pPr>
                  <w:r>
                    <w:rPr>
                      <w:rFonts w:hint="default" w:ascii="Times New Roman" w:hAnsi="Times New Roman" w:eastAsia="方正仿宋_GBK" w:cs="Times New Roman"/>
                      <w:color w:val="auto"/>
                      <w:sz w:val="24"/>
                      <w:highlight w:val="none"/>
                    </w:rPr>
                    <w:sym w:font="Wingdings" w:char="F0A8"/>
                  </w:r>
                  <w:r>
                    <w:rPr>
                      <w:rFonts w:hint="default" w:ascii="Times New Roman" w:hAnsi="Times New Roman" w:eastAsia="方正仿宋_GBK" w:cs="Times New Roman"/>
                      <w:color w:val="auto"/>
                      <w:sz w:val="24"/>
                      <w:highlight w:val="none"/>
                      <w:lang w:eastAsia="zh-CN"/>
                    </w:rPr>
                    <w:t xml:space="preserve">第三方专业机构    </w:t>
                  </w:r>
                  <w:r>
                    <w:rPr>
                      <w:rFonts w:hint="default" w:ascii="Times New Roman" w:hAnsi="Times New Roman" w:eastAsia="方正仿宋_GBK" w:cs="Times New Roman"/>
                      <w:color w:val="auto"/>
                      <w:sz w:val="24"/>
                      <w:highlight w:val="none"/>
                    </w:rPr>
                    <w:sym w:font="Wingdings" w:char="00A8"/>
                  </w:r>
                  <w:r>
                    <w:rPr>
                      <w:rFonts w:hint="default" w:ascii="Times New Roman" w:hAnsi="Times New Roman" w:eastAsia="方正仿宋_GBK" w:cs="Times New Roman"/>
                      <w:color w:val="auto"/>
                      <w:sz w:val="24"/>
                      <w:highlight w:val="none"/>
                      <w:lang w:eastAsia="zh-CN"/>
                    </w:rPr>
                    <w:t>其他</w:t>
                  </w:r>
                </w:p>
              </w:tc>
            </w:tr>
            <w:tr w14:paraId="5E9C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ign w:val="center"/>
                </w:tcPr>
                <w:p w14:paraId="17E7E598">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lang w:eastAsia="zh-CN"/>
                    </w:rPr>
                  </w:pPr>
                </w:p>
              </w:tc>
              <w:tc>
                <w:tcPr>
                  <w:tcW w:w="1796" w:type="dxa"/>
                  <w:noWrap/>
                  <w:vAlign w:val="center"/>
                </w:tcPr>
                <w:p w14:paraId="2BF03526">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时间</w:t>
                  </w:r>
                </w:p>
              </w:tc>
              <w:tc>
                <w:tcPr>
                  <w:tcW w:w="5513" w:type="dxa"/>
                  <w:noWrap/>
                  <w:vAlign w:val="center"/>
                </w:tcPr>
                <w:p w14:paraId="031F13E6">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lang w:val="en-US" w:eastAsia="zh-CN"/>
                    </w:rPr>
                    <w:t>合同期满，在</w:t>
                  </w:r>
                  <w:r>
                    <w:rPr>
                      <w:rFonts w:hint="eastAsia" w:ascii="Times New Roman" w:hAnsi="Times New Roman" w:eastAsia="方正仿宋_GBK" w:cs="Times New Roman"/>
                      <w:color w:val="auto"/>
                      <w:sz w:val="24"/>
                      <w:highlight w:val="none"/>
                      <w:lang w:val="en-US" w:eastAsia="zh-CN"/>
                    </w:rPr>
                    <w:t>收到供应商</w:t>
                  </w:r>
                  <w:r>
                    <w:rPr>
                      <w:rFonts w:hint="default" w:ascii="Times New Roman" w:hAnsi="Times New Roman" w:eastAsia="方正仿宋_GBK" w:cs="Times New Roman"/>
                      <w:color w:val="auto"/>
                      <w:sz w:val="24"/>
                      <w:highlight w:val="none"/>
                      <w:lang w:val="en-US" w:eastAsia="zh-CN"/>
                    </w:rPr>
                    <w:t>提出验收申请后15日内组织验收</w:t>
                  </w:r>
                  <w:r>
                    <w:rPr>
                      <w:rFonts w:hint="default" w:ascii="Times New Roman" w:hAnsi="Times New Roman" w:eastAsia="方正仿宋_GBK" w:cs="Times New Roman"/>
                      <w:color w:val="auto"/>
                      <w:sz w:val="24"/>
                      <w:highlight w:val="none"/>
                      <w:lang w:eastAsia="zh-CN"/>
                    </w:rPr>
                    <w:t>。</w:t>
                  </w:r>
                </w:p>
              </w:tc>
            </w:tr>
            <w:tr w14:paraId="6BD1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ign w:val="center"/>
                </w:tcPr>
                <w:p w14:paraId="53EB699C">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lang w:eastAsia="zh-CN"/>
                    </w:rPr>
                  </w:pPr>
                </w:p>
              </w:tc>
              <w:tc>
                <w:tcPr>
                  <w:tcW w:w="1796" w:type="dxa"/>
                  <w:noWrap/>
                  <w:vAlign w:val="center"/>
                </w:tcPr>
                <w:p w14:paraId="4711D55A">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rPr>
                  </w:pPr>
                  <w:r>
                    <w:rPr>
                      <w:rFonts w:hint="default" w:ascii="Times New Roman" w:hAnsi="Times New Roman" w:eastAsia="方正仿宋_GBK" w:cs="Times New Roman"/>
                      <w:color w:val="auto"/>
                      <w:sz w:val="24"/>
                      <w:highlight w:val="none"/>
                    </w:rPr>
                    <w:t>方式</w:t>
                  </w:r>
                </w:p>
              </w:tc>
              <w:tc>
                <w:tcPr>
                  <w:tcW w:w="5513" w:type="dxa"/>
                  <w:noWrap/>
                  <w:vAlign w:val="center"/>
                </w:tcPr>
                <w:p w14:paraId="50ECE774">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rPr>
                    <w:sym w:font="Wingdings" w:char="00A8"/>
                  </w:r>
                  <w:r>
                    <w:rPr>
                      <w:rFonts w:hint="default" w:ascii="Times New Roman" w:hAnsi="Times New Roman" w:eastAsia="方正仿宋_GBK" w:cs="Times New Roman"/>
                      <w:color w:val="auto"/>
                      <w:sz w:val="24"/>
                      <w:highlight w:val="none"/>
                      <w:lang w:eastAsia="zh-CN"/>
                    </w:rPr>
                    <w:t xml:space="preserve">单位内部验收  </w:t>
                  </w:r>
                  <w:r>
                    <w:rPr>
                      <w:rFonts w:hint="default" w:ascii="Times New Roman" w:hAnsi="Times New Roman" w:eastAsia="方正仿宋_GBK" w:cs="Times New Roman"/>
                      <w:color w:val="auto"/>
                      <w:sz w:val="24"/>
                      <w:highlight w:val="none"/>
                    </w:rPr>
                    <w:sym w:font="Wingdings" w:char="00FE"/>
                  </w:r>
                  <w:r>
                    <w:rPr>
                      <w:rFonts w:hint="default" w:ascii="Times New Roman" w:hAnsi="Times New Roman" w:eastAsia="方正仿宋_GBK" w:cs="Times New Roman"/>
                      <w:color w:val="auto"/>
                      <w:sz w:val="24"/>
                      <w:highlight w:val="none"/>
                      <w:lang w:eastAsia="zh-CN"/>
                    </w:rPr>
                    <w:t>专家评审会</w:t>
                  </w:r>
                </w:p>
                <w:p w14:paraId="3EFD8959">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i/>
                      <w:iCs/>
                      <w:color w:val="auto"/>
                      <w:sz w:val="24"/>
                      <w:highlight w:val="none"/>
                      <w:lang w:eastAsia="zh-CN"/>
                    </w:rPr>
                  </w:pPr>
                  <w:r>
                    <w:rPr>
                      <w:rFonts w:hint="default" w:ascii="Times New Roman" w:hAnsi="Times New Roman" w:eastAsia="方正仿宋_GBK" w:cs="Times New Roman"/>
                      <w:color w:val="auto"/>
                      <w:sz w:val="24"/>
                      <w:highlight w:val="none"/>
                    </w:rPr>
                    <w:sym w:font="Wingdings" w:char="00A8"/>
                  </w:r>
                  <w:r>
                    <w:rPr>
                      <w:rFonts w:hint="default" w:ascii="Times New Roman" w:hAnsi="Times New Roman" w:eastAsia="方正仿宋_GBK" w:cs="Times New Roman"/>
                      <w:color w:val="auto"/>
                      <w:sz w:val="24"/>
                      <w:highlight w:val="none"/>
                      <w:lang w:eastAsia="zh-CN"/>
                    </w:rPr>
                    <w:t>其他</w:t>
                  </w:r>
                </w:p>
              </w:tc>
            </w:tr>
            <w:tr w14:paraId="27A7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ign w:val="center"/>
                </w:tcPr>
                <w:p w14:paraId="309F59CE">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lang w:eastAsia="zh-CN"/>
                    </w:rPr>
                  </w:pPr>
                </w:p>
              </w:tc>
              <w:tc>
                <w:tcPr>
                  <w:tcW w:w="1796" w:type="dxa"/>
                  <w:noWrap/>
                  <w:vAlign w:val="center"/>
                </w:tcPr>
                <w:p w14:paraId="1C1BAD9C">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rPr>
                  </w:pPr>
                  <w:r>
                    <w:rPr>
                      <w:rFonts w:hint="default" w:ascii="Times New Roman" w:hAnsi="Times New Roman" w:eastAsia="方正仿宋_GBK" w:cs="Times New Roman"/>
                      <w:color w:val="auto"/>
                      <w:sz w:val="24"/>
                      <w:highlight w:val="none"/>
                    </w:rPr>
                    <w:t>程序</w:t>
                  </w:r>
                </w:p>
              </w:tc>
              <w:tc>
                <w:tcPr>
                  <w:tcW w:w="5513" w:type="dxa"/>
                  <w:noWrap/>
                  <w:vAlign w:val="center"/>
                </w:tcPr>
                <w:p w14:paraId="01444AA6">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rPr>
                    <w:sym w:font="Wingdings" w:char="00FE"/>
                  </w:r>
                  <w:r>
                    <w:rPr>
                      <w:rFonts w:hint="default" w:ascii="Times New Roman" w:hAnsi="Times New Roman" w:eastAsia="方正仿宋_GBK" w:cs="Times New Roman"/>
                      <w:color w:val="auto"/>
                      <w:sz w:val="24"/>
                      <w:highlight w:val="none"/>
                      <w:lang w:eastAsia="zh-CN"/>
                    </w:rPr>
                    <w:t xml:space="preserve">一次性验收   </w:t>
                  </w:r>
                  <w:r>
                    <w:rPr>
                      <w:rFonts w:hint="default" w:ascii="Times New Roman" w:hAnsi="Times New Roman" w:eastAsia="方正仿宋_GBK" w:cs="Times New Roman"/>
                      <w:color w:val="auto"/>
                      <w:sz w:val="24"/>
                      <w:highlight w:val="none"/>
                    </w:rPr>
                    <w:sym w:font="Wingdings" w:char="00A8"/>
                  </w:r>
                  <w:r>
                    <w:rPr>
                      <w:rFonts w:hint="default" w:ascii="Times New Roman" w:hAnsi="Times New Roman" w:eastAsia="方正仿宋_GBK" w:cs="Times New Roman"/>
                      <w:color w:val="auto"/>
                      <w:sz w:val="24"/>
                      <w:highlight w:val="none"/>
                      <w:lang w:eastAsia="zh-CN"/>
                    </w:rPr>
                    <w:t xml:space="preserve">分段验收   </w:t>
                  </w:r>
                  <w:r>
                    <w:rPr>
                      <w:rFonts w:hint="default" w:ascii="Times New Roman" w:hAnsi="Times New Roman" w:eastAsia="方正仿宋_GBK" w:cs="Times New Roman"/>
                      <w:color w:val="auto"/>
                      <w:sz w:val="24"/>
                      <w:highlight w:val="none"/>
                    </w:rPr>
                    <w:sym w:font="Wingdings" w:char="00A8"/>
                  </w:r>
                  <w:r>
                    <w:rPr>
                      <w:rFonts w:hint="default" w:ascii="Times New Roman" w:hAnsi="Times New Roman" w:eastAsia="方正仿宋_GBK" w:cs="Times New Roman"/>
                      <w:color w:val="auto"/>
                      <w:sz w:val="24"/>
                      <w:highlight w:val="none"/>
                      <w:lang w:eastAsia="zh-CN"/>
                    </w:rPr>
                    <w:t>分期验收</w:t>
                  </w:r>
                </w:p>
                <w:p w14:paraId="255080CD">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i/>
                      <w:iCs/>
                      <w:color w:val="auto"/>
                      <w:sz w:val="24"/>
                      <w:highlight w:val="none"/>
                    </w:rPr>
                  </w:pPr>
                  <w:r>
                    <w:rPr>
                      <w:rFonts w:hint="default" w:ascii="Times New Roman" w:hAnsi="Times New Roman" w:eastAsia="方正仿宋_GBK" w:cs="Times New Roman"/>
                      <w:color w:val="auto"/>
                      <w:sz w:val="24"/>
                      <w:highlight w:val="none"/>
                    </w:rPr>
                    <w:sym w:font="Wingdings" w:char="F0A8"/>
                  </w:r>
                  <w:r>
                    <w:rPr>
                      <w:rFonts w:hint="default" w:ascii="Times New Roman" w:hAnsi="Times New Roman" w:eastAsia="方正仿宋_GBK" w:cs="Times New Roman"/>
                      <w:color w:val="auto"/>
                      <w:sz w:val="24"/>
                      <w:highlight w:val="none"/>
                    </w:rPr>
                    <w:t>其他</w:t>
                  </w:r>
                </w:p>
              </w:tc>
            </w:tr>
            <w:tr w14:paraId="468A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ign w:val="center"/>
                </w:tcPr>
                <w:p w14:paraId="52F34DFD">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rPr>
                  </w:pPr>
                </w:p>
              </w:tc>
              <w:tc>
                <w:tcPr>
                  <w:tcW w:w="1796" w:type="dxa"/>
                  <w:noWrap/>
                  <w:vAlign w:val="center"/>
                </w:tcPr>
                <w:p w14:paraId="4D92E1DF">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i/>
                      <w:iCs/>
                      <w:color w:val="auto"/>
                      <w:sz w:val="24"/>
                      <w:highlight w:val="none"/>
                    </w:rPr>
                  </w:pPr>
                  <w:r>
                    <w:rPr>
                      <w:rFonts w:hint="default" w:ascii="Times New Roman" w:hAnsi="Times New Roman" w:eastAsia="方正仿宋_GBK" w:cs="Times New Roman"/>
                      <w:color w:val="auto"/>
                      <w:sz w:val="24"/>
                      <w:highlight w:val="none"/>
                    </w:rPr>
                    <w:t>验收内容及标准</w:t>
                  </w:r>
                </w:p>
              </w:tc>
              <w:tc>
                <w:tcPr>
                  <w:tcW w:w="5513" w:type="dxa"/>
                  <w:noWrap/>
                  <w:vAlign w:val="center"/>
                </w:tcPr>
                <w:p w14:paraId="1F68F88A">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i/>
                      <w:iCs/>
                      <w:color w:val="auto"/>
                      <w:sz w:val="24"/>
                      <w:highlight w:val="none"/>
                      <w:lang w:eastAsia="zh-CN"/>
                    </w:rPr>
                  </w:pPr>
                  <w:r>
                    <w:rPr>
                      <w:rFonts w:hint="eastAsia" w:ascii="Times New Roman" w:hAnsi="Times New Roman" w:eastAsia="方正仿宋_GBK" w:cs="Times New Roman"/>
                      <w:color w:val="auto"/>
                      <w:sz w:val="24"/>
                      <w:highlight w:val="none"/>
                      <w:lang w:val="en-US" w:eastAsia="zh-CN"/>
                    </w:rPr>
                    <w:t>按照本项目</w:t>
                  </w:r>
                  <w:r>
                    <w:rPr>
                      <w:rFonts w:hint="default" w:ascii="Times New Roman" w:hAnsi="Times New Roman" w:eastAsia="方正仿宋_GBK" w:cs="Times New Roman"/>
                      <w:color w:val="auto"/>
                      <w:sz w:val="24"/>
                      <w:highlight w:val="none"/>
                      <w:lang w:val="en-US" w:eastAsia="zh-CN"/>
                    </w:rPr>
                    <w:t>服务内容</w:t>
                  </w:r>
                  <w:r>
                    <w:rPr>
                      <w:rFonts w:hint="default" w:ascii="Times New Roman" w:hAnsi="Times New Roman" w:eastAsia="方正仿宋_GBK" w:cs="Times New Roman"/>
                      <w:color w:val="auto"/>
                      <w:sz w:val="24"/>
                      <w:highlight w:val="none"/>
                    </w:rPr>
                    <w:t>及</w:t>
                  </w:r>
                  <w:r>
                    <w:rPr>
                      <w:rFonts w:hint="default" w:ascii="Times New Roman" w:hAnsi="Times New Roman" w:eastAsia="方正仿宋_GBK" w:cs="Times New Roman"/>
                      <w:color w:val="auto"/>
                      <w:sz w:val="24"/>
                      <w:highlight w:val="none"/>
                      <w:lang w:val="en-US" w:eastAsia="zh-CN"/>
                    </w:rPr>
                    <w:t>要求</w:t>
                  </w:r>
                  <w:r>
                    <w:rPr>
                      <w:rFonts w:hint="default" w:ascii="Times New Roman" w:hAnsi="Times New Roman" w:eastAsia="方正仿宋_GBK" w:cs="Times New Roman"/>
                      <w:color w:val="auto"/>
                      <w:sz w:val="24"/>
                      <w:highlight w:val="none"/>
                    </w:rPr>
                    <w:t>、成果要求及商务要求</w:t>
                  </w:r>
                  <w:r>
                    <w:rPr>
                      <w:rFonts w:hint="eastAsia" w:ascii="Times New Roman" w:hAnsi="Times New Roman" w:eastAsia="方正仿宋_GBK" w:cs="Times New Roman"/>
                      <w:color w:val="auto"/>
                      <w:sz w:val="24"/>
                      <w:highlight w:val="none"/>
                      <w:lang w:eastAsia="zh-CN"/>
                    </w:rPr>
                    <w:t>、</w:t>
                  </w:r>
                  <w:r>
                    <w:rPr>
                      <w:rFonts w:hint="eastAsia" w:ascii="Times New Roman" w:hAnsi="Times New Roman" w:eastAsia="方正仿宋_GBK" w:cs="Times New Roman"/>
                      <w:color w:val="auto"/>
                      <w:sz w:val="24"/>
                      <w:highlight w:val="none"/>
                      <w:lang w:val="en-US" w:eastAsia="zh-CN"/>
                    </w:rPr>
                    <w:t>供应商投标文件、采购合同的约定进行验收</w:t>
                  </w:r>
                  <w:r>
                    <w:rPr>
                      <w:rFonts w:hint="default" w:ascii="Times New Roman" w:hAnsi="Times New Roman" w:eastAsia="方正仿宋_GBK" w:cs="Times New Roman"/>
                      <w:color w:val="auto"/>
                      <w:sz w:val="24"/>
                      <w:highlight w:val="none"/>
                    </w:rPr>
                    <w:t>。</w:t>
                  </w:r>
                </w:p>
              </w:tc>
            </w:tr>
            <w:tr w14:paraId="3C12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ign w:val="center"/>
                </w:tcPr>
                <w:p w14:paraId="395995D2">
                  <w:pPr>
                    <w:keepNext w:val="0"/>
                    <w:keepLines w:val="0"/>
                    <w:pageBreakBefore w:val="0"/>
                    <w:widowControl w:val="0"/>
                    <w:kinsoku/>
                    <w:wordWrap w:val="0"/>
                    <w:overflowPunct/>
                    <w:topLinePunct/>
                    <w:bidi w:val="0"/>
                    <w:spacing w:line="560" w:lineRule="exact"/>
                    <w:textAlignment w:val="auto"/>
                    <w:rPr>
                      <w:rFonts w:hint="default" w:ascii="Times New Roman" w:hAnsi="Times New Roman" w:eastAsia="方正仿宋_GBK" w:cs="Times New Roman"/>
                      <w:i/>
                      <w:iCs/>
                      <w:color w:val="auto"/>
                      <w:sz w:val="24"/>
                      <w:highlight w:val="none"/>
                      <w:lang w:eastAsia="zh-CN"/>
                    </w:rPr>
                  </w:pPr>
                </w:p>
              </w:tc>
              <w:tc>
                <w:tcPr>
                  <w:tcW w:w="1796" w:type="dxa"/>
                  <w:noWrap/>
                  <w:vAlign w:val="center"/>
                </w:tcPr>
                <w:p w14:paraId="1DAFA4C8">
                  <w:pPr>
                    <w:keepNext w:val="0"/>
                    <w:keepLines w:val="0"/>
                    <w:pageBreakBefore w:val="0"/>
                    <w:widowControl w:val="0"/>
                    <w:kinsoku/>
                    <w:wordWrap w:val="0"/>
                    <w:overflowPunct/>
                    <w:topLinePunct/>
                    <w:bidi w:val="0"/>
                    <w:spacing w:line="560" w:lineRule="exact"/>
                    <w:jc w:val="center"/>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其他事项</w:t>
                  </w:r>
                </w:p>
              </w:tc>
              <w:tc>
                <w:tcPr>
                  <w:tcW w:w="5513" w:type="dxa"/>
                  <w:noWrap/>
                  <w:vAlign w:val="center"/>
                </w:tcPr>
                <w:p w14:paraId="367B5AF4">
                  <w:pPr>
                    <w:keepNext w:val="0"/>
                    <w:keepLines w:val="0"/>
                    <w:pageBreakBefore w:val="0"/>
                    <w:widowControl w:val="0"/>
                    <w:kinsoku/>
                    <w:overflowPunct/>
                    <w:bidi w:val="0"/>
                    <w:spacing w:line="560" w:lineRule="exact"/>
                    <w:ind w:left="1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1、履约验收应严格按照《财政部关于进一步加强政府采购需求和履约验收管理的指导意见》（财库〔2016〕205号）等相关规定的要求进行验收，各项技术、服务、商务指标以采购文件要求、</w:t>
                  </w:r>
                  <w:r>
                    <w:rPr>
                      <w:rFonts w:hint="eastAsia" w:ascii="Times New Roman" w:hAnsi="Times New Roman" w:eastAsia="方正仿宋_GBK" w:cs="Times New Roman"/>
                      <w:color w:val="auto"/>
                      <w:sz w:val="24"/>
                      <w:highlight w:val="none"/>
                      <w:lang w:val="en-US" w:eastAsia="zh-CN"/>
                    </w:rPr>
                    <w:t>供应商</w:t>
                  </w:r>
                  <w:r>
                    <w:rPr>
                      <w:rFonts w:hint="default" w:ascii="Times New Roman" w:hAnsi="Times New Roman" w:eastAsia="方正仿宋_GBK" w:cs="Times New Roman"/>
                      <w:color w:val="auto"/>
                      <w:sz w:val="24"/>
                      <w:highlight w:val="none"/>
                    </w:rPr>
                    <w:t>投标情况及双方签订的</w:t>
                  </w:r>
                  <w:r>
                    <w:rPr>
                      <w:rFonts w:hint="default" w:ascii="Times New Roman" w:hAnsi="Times New Roman" w:eastAsia="方正仿宋_GBK" w:cs="Times New Roman"/>
                      <w:color w:val="auto"/>
                      <w:sz w:val="24"/>
                      <w:highlight w:val="none"/>
                      <w:lang w:val="en-US" w:eastAsia="zh-CN"/>
                    </w:rPr>
                    <w:t>采购</w:t>
                  </w:r>
                  <w:r>
                    <w:rPr>
                      <w:rFonts w:hint="default" w:ascii="Times New Roman" w:hAnsi="Times New Roman" w:eastAsia="方正仿宋_GBK" w:cs="Times New Roman"/>
                      <w:color w:val="auto"/>
                      <w:sz w:val="24"/>
                      <w:highlight w:val="none"/>
                    </w:rPr>
                    <w:t>合同条款约定为准；</w:t>
                  </w:r>
                  <w:r>
                    <w:rPr>
                      <w:rFonts w:hint="eastAsia" w:ascii="Times New Roman" w:hAnsi="Times New Roman" w:eastAsia="方正仿宋_GBK" w:cs="Times New Roman"/>
                      <w:color w:val="auto"/>
                      <w:sz w:val="24"/>
                      <w:highlight w:val="none"/>
                      <w:lang w:val="en-US" w:eastAsia="zh-CN"/>
                    </w:rPr>
                    <w:t>采购人</w:t>
                  </w:r>
                  <w:r>
                    <w:rPr>
                      <w:rFonts w:hint="default" w:ascii="Times New Roman" w:hAnsi="Times New Roman" w:eastAsia="方正仿宋_GBK" w:cs="Times New Roman"/>
                      <w:color w:val="auto"/>
                      <w:sz w:val="24"/>
                      <w:highlight w:val="none"/>
                    </w:rPr>
                    <w:t>与</w:t>
                  </w:r>
                  <w:r>
                    <w:rPr>
                      <w:rFonts w:hint="eastAsia" w:ascii="Times New Roman" w:hAnsi="Times New Roman" w:eastAsia="方正仿宋_GBK" w:cs="Times New Roman"/>
                      <w:color w:val="auto"/>
                      <w:sz w:val="24"/>
                      <w:highlight w:val="none"/>
                      <w:lang w:val="en-US" w:eastAsia="zh-CN"/>
                    </w:rPr>
                    <w:t>供应商</w:t>
                  </w:r>
                  <w:r>
                    <w:rPr>
                      <w:rFonts w:hint="default" w:ascii="Times New Roman" w:hAnsi="Times New Roman" w:eastAsia="方正仿宋_GBK" w:cs="Times New Roman"/>
                      <w:color w:val="auto"/>
                      <w:sz w:val="24"/>
                      <w:highlight w:val="none"/>
                    </w:rPr>
                    <w:t>双方如对质量要求和技术指标的约定标准有相互抵触或异议的事项，由</w:t>
                  </w:r>
                  <w:r>
                    <w:rPr>
                      <w:rFonts w:hint="eastAsia" w:ascii="Times New Roman" w:hAnsi="Times New Roman" w:eastAsia="方正仿宋_GBK" w:cs="Times New Roman"/>
                      <w:color w:val="auto"/>
                      <w:sz w:val="24"/>
                      <w:highlight w:val="none"/>
                      <w:lang w:val="en-US" w:eastAsia="zh-CN"/>
                    </w:rPr>
                    <w:t>采购人</w:t>
                  </w:r>
                  <w:r>
                    <w:rPr>
                      <w:rFonts w:hint="default" w:ascii="Times New Roman" w:hAnsi="Times New Roman" w:eastAsia="方正仿宋_GBK" w:cs="Times New Roman"/>
                      <w:color w:val="auto"/>
                      <w:sz w:val="24"/>
                      <w:highlight w:val="none"/>
                    </w:rPr>
                    <w:t>在采购文件及</w:t>
                  </w:r>
                  <w:r>
                    <w:rPr>
                      <w:rFonts w:hint="default" w:ascii="Times New Roman" w:hAnsi="Times New Roman" w:eastAsia="方正仿宋_GBK" w:cs="Times New Roman"/>
                      <w:color w:val="auto"/>
                      <w:sz w:val="24"/>
                      <w:highlight w:val="none"/>
                      <w:lang w:val="en-US" w:eastAsia="zh-CN"/>
                    </w:rPr>
                    <w:t>投标</w:t>
                  </w:r>
                  <w:r>
                    <w:rPr>
                      <w:rFonts w:hint="default" w:ascii="Times New Roman" w:hAnsi="Times New Roman" w:eastAsia="方正仿宋_GBK" w:cs="Times New Roman"/>
                      <w:color w:val="auto"/>
                      <w:sz w:val="24"/>
                      <w:highlight w:val="none"/>
                    </w:rPr>
                    <w:t>文件中按质量要求和技术指标比较优胜的原则确定该项的约定标准进行验收。</w:t>
                  </w:r>
                </w:p>
                <w:p w14:paraId="25475799">
                  <w:pPr>
                    <w:keepNext w:val="0"/>
                    <w:keepLines w:val="0"/>
                    <w:pageBreakBefore w:val="0"/>
                    <w:widowControl w:val="0"/>
                    <w:kinsoku/>
                    <w:wordWrap w:val="0"/>
                    <w:overflowPunct/>
                    <w:topLinePunct/>
                    <w:bidi w:val="0"/>
                    <w:spacing w:line="560" w:lineRule="exact"/>
                    <w:ind w:firstLine="240" w:firstLineChars="100"/>
                    <w:textAlignment w:val="auto"/>
                    <w:rPr>
                      <w:rFonts w:hint="default" w:ascii="Times New Roman" w:hAnsi="Times New Roman" w:eastAsia="方正仿宋_GBK" w:cs="Times New Roman"/>
                      <w:color w:val="auto"/>
                      <w:sz w:val="24"/>
                      <w:highlight w:val="none"/>
                      <w:u w:val="single"/>
                      <w:lang w:eastAsia="zh-CN"/>
                    </w:rPr>
                  </w:pPr>
                  <w:r>
                    <w:rPr>
                      <w:rFonts w:hint="default" w:ascii="Times New Roman" w:hAnsi="Times New Roman" w:eastAsia="方正仿宋_GBK" w:cs="Times New Roman"/>
                      <w:color w:val="auto"/>
                      <w:sz w:val="24"/>
                      <w:highlight w:val="none"/>
                    </w:rPr>
                    <w:t>2、</w:t>
                  </w:r>
                  <w:r>
                    <w:rPr>
                      <w:rFonts w:hint="eastAsia" w:ascii="Times New Roman" w:hAnsi="Times New Roman" w:eastAsia="方正仿宋_GBK" w:cs="Times New Roman"/>
                      <w:color w:val="auto"/>
                      <w:sz w:val="24"/>
                      <w:highlight w:val="none"/>
                      <w:lang w:val="en-US" w:eastAsia="zh-CN"/>
                    </w:rPr>
                    <w:t>采购人</w:t>
                  </w:r>
                  <w:r>
                    <w:rPr>
                      <w:rFonts w:hint="default" w:ascii="Times New Roman" w:hAnsi="Times New Roman" w:eastAsia="方正仿宋_GBK" w:cs="Times New Roman"/>
                      <w:color w:val="auto"/>
                      <w:sz w:val="24"/>
                      <w:highlight w:val="none"/>
                    </w:rPr>
                    <w:t>无</w:t>
                  </w:r>
                  <w:r>
                    <w:rPr>
                      <w:rFonts w:hint="default" w:ascii="Times New Roman" w:hAnsi="Times New Roman" w:eastAsia="方正仿宋_GBK" w:cs="Times New Roman"/>
                      <w:color w:val="auto"/>
                      <w:sz w:val="24"/>
                      <w:highlight w:val="none"/>
                      <w:lang w:val="en-US" w:eastAsia="zh-CN"/>
                    </w:rPr>
                    <w:t>正当理由</w:t>
                  </w:r>
                  <w:r>
                    <w:rPr>
                      <w:rFonts w:hint="default" w:ascii="Times New Roman" w:hAnsi="Times New Roman" w:eastAsia="方正仿宋_GBK" w:cs="Times New Roman"/>
                      <w:color w:val="auto"/>
                      <w:sz w:val="24"/>
                      <w:highlight w:val="none"/>
                    </w:rPr>
                    <w:t>不进行验收工作并已使用项目履约成果的，视同验收合格。</w:t>
                  </w:r>
                </w:p>
              </w:tc>
            </w:tr>
          </w:tbl>
          <w:p w14:paraId="3BDA85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（五）知识产权条款</w:t>
            </w:r>
          </w:p>
          <w:p w14:paraId="6188CB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eastAsia"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供应商所提供的服务或其任何一部分均不会侵犯任何第三方的专利权、商标权、著作权或其他合法权益，否则视为供应商违约，由此产生的一切损失由供应商承担，且采购人有权按照违约责任条款追究供应商责任；采购人享有本项目实施过程中产生的知识成果及知识产权，未经采购人书面允许供应商不得另做他用。</w:t>
            </w:r>
          </w:p>
          <w:p w14:paraId="6278CB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（六）违约责任</w:t>
            </w:r>
          </w:p>
          <w:p w14:paraId="550C6C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eastAsia"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 xml:space="preserve">违约责任 1.供应商必须遵守采购合同并执行合同中的各项规定，保证采购合同的正常履行。 2.如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 3.由于本合同履行过程中存在较多不可预计的因素和主观性，供应商应无条件接受采购人在合同履行过程中的指示，确保合同所涉服务按采购人要求完成。 4.除另有约定外，供应商提供的服务不符合本合同约定的，每出现一次违约，供应商须向采购人支付合同总金额5%的违约金并且按采购人要求进行整改，未按采购人要求完成整改的或出现违约3次及以上的，采购人有权无条件解除本合同并要求供应商退还已收取的费用及利息。 供应商逾期完成服务内容的，供应商须向采购人支付合同总金额5%的违约金；逾期达10天的，采购人有权解除合同并要求供应商退还已收取的费用及利息，同时供应商应另行向采购人支付合同总金额20%的违约金。 5.采购人无正当理由逾期付款的，除应及时付足合同款外，应向供应商偿付每日逾期付款利息，具体利息计算规则为：应付而未付款总额×合同订立时1年期贷款市场报价利率/365*具体逾期支付天数。但若因财政年终决算关账或财政资金未下达等客观原因导致采购人未按合同约定支付相应款项的，不视为采购人违约，采购人不承担任何违约责任。6.供应商保证所提供的服务或其服务所涉任何一部分的权利无瑕疵，均不会侵犯任何第三方的专利权、商标权、著作权或其他合法权益，否则视为供应商违约。若任何第三方经法院（或仲裁机构）裁决有权对上述服务或服务所涉产品等主张权利，由供应商承担经济责任的，供应商除应向采购人返还已收款项及利息外，还应另按合同总金额的15%向采购人支付违约金，并赔偿因此给采购人造成的一切损失，包括但不限于采购人因诉讼产生的律师费、诉讼费用、保全保险费、差旅费等费用。7.如果供应商违反保密条款，采购人除有权解除本合同并要求供应商赔偿合同总金额15%的违约金外，采购人可以要求供应商退还已收取的相应款项及利息。供应商及涉事人员还需承担相关的法律责任。8.供应商未经采购人书面同意，不得擅自分包、转包，否则采购人有权立即终止合同，并要求供应商停止分包、转包行为，同时有权要求供应商承担合同金额20%的违约金，并要求赔偿由此给采购人造成的全部损失。9.未经双方协商一致，供应商不得单方面变更、中止、解除或终止本合同，否则，供应商应承担合同金额20%的违约金，并赔偿由此给采购人造成的全部损失。10.供应商违反本合同约定的，除应当按照本合同约定支付违约金，还应一并赔偿由此给采购人造成的全部损失，包括采购人因诉讼产生的律师费、诉讼费用、保全保险费、差旅费等费用。11.合同签订后，若发现供应商在本项目中存在以虚假材料谋取中标或成交等违反政府采购法律法规的行为，采购人有权无条件解除本合同并要求供应商退还已收取的费用及利息。12.以上所称“利息”按照中国人民银行授权全国银行间同业拆借中心公布的同期贷款市场报价利率（LPR）为标准，从采购人支付之日起计算。13.合同履行过程中，如遇采购法律法规变化、采购监督管理部门或上级部门发布新的规范性文件或履行合同的客观条件变化（包括但不限于采购人年度整体预算或项目预算被调整、采购需求必须调整等情况），导致本项目采购人采购任务取消、采购合同无法继续履行或者继续履行会违反上述最新法律法规和规范性文件，则采购人有权无条件解除合同，且不承担任何违约责任；其中因履行合同的客观条件变化导致继续履行有违公平、公正原则的，双方均有权选择终止本项目履行，且不承担任何违约责任。 14.有下列情形之一的，采购人有权解除合同并停止付款、收回已支付的资金、追究成交供应商违约责任： 14.1供应商验收考核不合格，整改后仍无法达到项目的要求； 14.2供应商申请拨款时或财务审计时提供虚假的或不完整的资料； 14.3供应商项目资金的使用不符合协议书及其附件的规定； 14.4项目质量不符合项目概述和评审文件的要求进度及质量指标； 15.有下列情形之一的，当事人可以解除合同： 15.1因不可抗力致使不能实现合同目的(由于非供应商或采购人原因，致使合同实质性条款无法实现的)； 15.2当事人一方迟延履行主要债务，经催告后在另一方规定的期限内仍未履行； 15.3当事人一方迟延履行债务或者有其他违约行为致使不能实现合同目的； 15.4法律规定的其他情形。 </w:t>
            </w:r>
          </w:p>
          <w:p w14:paraId="3FC7B7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w:t>
            </w:r>
            <w:r>
              <w:rPr>
                <w:rFonts w:hint="eastAsia" w:ascii="Times New Roman" w:hAnsi="Times New Roman" w:eastAsia="方正仿宋_GBK" w:cs="Times New Roman"/>
                <w:color w:val="auto"/>
                <w:sz w:val="24"/>
                <w:szCs w:val="24"/>
                <w:highlight w:val="none"/>
                <w:lang w:val="en-US" w:eastAsia="zh-CN"/>
              </w:rPr>
              <w:t>七</w:t>
            </w:r>
            <w:r>
              <w:rPr>
                <w:rFonts w:hint="default" w:ascii="Times New Roman" w:hAnsi="Times New Roman" w:eastAsia="方正仿宋_GBK" w:cs="Times New Roman"/>
                <w:color w:val="auto"/>
                <w:sz w:val="24"/>
                <w:szCs w:val="24"/>
                <w:highlight w:val="none"/>
                <w:lang w:val="en-US" w:eastAsia="zh-CN"/>
              </w:rPr>
              <w:t>）不可抗力</w:t>
            </w:r>
          </w:p>
          <w:p w14:paraId="40F8E5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任何一方由于不可抗力原因不能履行合同时，应在不可抗力事件发生后</w:t>
            </w:r>
            <w:r>
              <w:rPr>
                <w:rFonts w:hint="eastAsia"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lang w:val="en-US" w:eastAsia="zh-CN"/>
              </w:rPr>
              <w:t>日内向对方通报（若因通讯未恢复无法在前述时间内向对方通报的，则需在通讯恢复后次日向对方通报）。</w:t>
            </w:r>
          </w:p>
          <w:p w14:paraId="1A7930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在取得有关机构的不可抗力证明或双方谅解确认后，双方可就合同是否延期履行、如何履行等问题进行协商，经协商30日后不能达成一致的，双方均有权解除合同。</w:t>
            </w:r>
          </w:p>
          <w:p w14:paraId="4F4487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w:t>
            </w:r>
            <w:r>
              <w:rPr>
                <w:rFonts w:hint="eastAsia" w:ascii="Times New Roman" w:hAnsi="Times New Roman" w:eastAsia="方正仿宋_GBK" w:cs="Times New Roman"/>
                <w:color w:val="auto"/>
                <w:sz w:val="24"/>
                <w:szCs w:val="24"/>
                <w:highlight w:val="none"/>
                <w:lang w:val="en-US" w:eastAsia="zh-CN"/>
              </w:rPr>
              <w:t>八</w:t>
            </w:r>
            <w:r>
              <w:rPr>
                <w:rFonts w:hint="default" w:ascii="Times New Roman" w:hAnsi="Times New Roman" w:eastAsia="方正仿宋_GBK" w:cs="Times New Roman"/>
                <w:color w:val="auto"/>
                <w:sz w:val="24"/>
                <w:szCs w:val="24"/>
                <w:highlight w:val="none"/>
                <w:lang w:val="en-US" w:eastAsia="zh-CN"/>
              </w:rPr>
              <w:t>）争议解决</w:t>
            </w:r>
          </w:p>
          <w:p w14:paraId="4F06EC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在执行本合同中发生的或与本合同有关的争端，双方应通过友好协商解决，经协商不能达成一致时，应选择向</w:t>
            </w:r>
            <w:r>
              <w:rPr>
                <w:rFonts w:hint="eastAsia" w:ascii="Times New Roman" w:hAnsi="Times New Roman" w:eastAsia="方正仿宋_GBK" w:cs="Times New Roman"/>
                <w:color w:val="auto"/>
                <w:sz w:val="24"/>
                <w:szCs w:val="24"/>
                <w:highlight w:val="none"/>
                <w:lang w:val="en-US" w:eastAsia="zh-CN"/>
              </w:rPr>
              <w:t>采购人</w:t>
            </w:r>
            <w:r>
              <w:rPr>
                <w:rFonts w:hint="default" w:ascii="Times New Roman" w:hAnsi="Times New Roman" w:eastAsia="方正仿宋_GBK" w:cs="Times New Roman"/>
                <w:color w:val="auto"/>
                <w:sz w:val="24"/>
                <w:szCs w:val="24"/>
                <w:highlight w:val="none"/>
                <w:lang w:val="en-US" w:eastAsia="zh-CN"/>
              </w:rPr>
              <w:t>所在地有管辖权的法院提起诉讼，诉讼产生的一切费用应由败诉方负担。在法院审理期间，除有争议部分外，本合同其他可以履行的部分仍应按合同条款继续履行。</w:t>
            </w:r>
          </w:p>
          <w:p w14:paraId="7D597DC0">
            <w:pPr>
              <w:pBdr>
                <w:between w:val="single" w:color="auto" w:sz="4" w:space="0"/>
              </w:pBdr>
              <w:tabs>
                <w:tab w:val="center" w:pos="681"/>
                <w:tab w:val="right" w:pos="1244"/>
              </w:tabs>
              <w:snapToGrid w:val="0"/>
              <w:jc w:val="center"/>
              <w:textAlignment w:val="center"/>
              <w:rPr>
                <w:rFonts w:hint="default" w:ascii="Times New Roman" w:hAnsi="Times New Roman" w:eastAsia="方正仿宋_GBK" w:cs="Times New Roman"/>
                <w:lang w:val="en-US" w:eastAsia="zh-CN"/>
              </w:rPr>
            </w:pPr>
          </w:p>
        </w:tc>
      </w:tr>
      <w:tr w14:paraId="5B5E1838">
        <w:tblPrEx>
          <w:tblCellMar>
            <w:top w:w="0" w:type="dxa"/>
            <w:left w:w="108" w:type="dxa"/>
            <w:bottom w:w="0" w:type="dxa"/>
            <w:right w:w="108" w:type="dxa"/>
          </w:tblCellMar>
        </w:tblPrEx>
        <w:trPr>
          <w:trHeight w:val="408" w:hRule="atLeast"/>
        </w:trPr>
        <w:tc>
          <w:tcPr>
            <w:tcW w:w="5000" w:type="pct"/>
            <w:gridSpan w:val="4"/>
            <w:tcBorders>
              <w:top w:val="single" w:color="auto" w:sz="4" w:space="0"/>
              <w:left w:val="single" w:color="auto" w:sz="4" w:space="0"/>
              <w:bottom w:val="single" w:color="auto" w:sz="4" w:space="0"/>
              <w:right w:val="single" w:color="auto" w:sz="4" w:space="0"/>
            </w:tcBorders>
            <w:noWrap w:val="0"/>
            <w:tcMar>
              <w:top w:w="85" w:type="dxa"/>
              <w:left w:w="85" w:type="dxa"/>
              <w:bottom w:w="85" w:type="dxa"/>
              <w:right w:w="85" w:type="dxa"/>
            </w:tcMar>
            <w:vAlign w:val="center"/>
          </w:tcPr>
          <w:p w14:paraId="2CA4E529">
            <w:pPr>
              <w:snapToGrid w:val="0"/>
              <w:jc w:val="center"/>
              <w:textAlignment w:val="center"/>
              <w:rPr>
                <w:rFonts w:hint="default" w:ascii="Times New Roman" w:hAnsi="Times New Roman" w:eastAsia="方正仿宋_GBK" w:cs="Times New Roman"/>
                <w:lang w:eastAsia="zh-CN"/>
              </w:rPr>
            </w:pPr>
            <w:r>
              <w:rPr>
                <w:rFonts w:hint="eastAsia" w:ascii="方正仿宋_GBK" w:hAnsi="方正仿宋_GBK" w:eastAsia="方正仿宋_GBK" w:cs="方正仿宋_GBK"/>
                <w:b w:val="0"/>
                <w:bCs w:val="0"/>
                <w:color w:val="auto"/>
                <w:sz w:val="24"/>
                <w:szCs w:val="24"/>
                <w:highlight w:val="none"/>
                <w:lang w:val="en-US" w:eastAsia="zh-CN"/>
              </w:rPr>
              <w:t>费用总计：      万元</w:t>
            </w:r>
          </w:p>
        </w:tc>
      </w:tr>
    </w:tbl>
    <w:p w14:paraId="1290C28C">
      <w:pPr>
        <w:pageBreakBefore w:val="0"/>
        <w:numPr>
          <w:ilvl w:val="0"/>
          <w:numId w:val="0"/>
        </w:numPr>
        <w:kinsoku/>
        <w:overflowPunct/>
        <w:topLinePunct w:val="0"/>
        <w:autoSpaceDE/>
        <w:autoSpaceDN/>
        <w:bidi w:val="0"/>
        <w:snapToGrid/>
        <w:spacing w:line="360" w:lineRule="auto"/>
        <w:ind w:left="0" w:right="0"/>
        <w:jc w:val="left"/>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说明：报价均为含税开票价格。</w:t>
      </w:r>
    </w:p>
    <w:p w14:paraId="6FE68615"/>
    <w:p w14:paraId="48833D28">
      <w:pPr>
        <w:pStyle w:val="4"/>
        <w:pageBreakBefore w:val="0"/>
        <w:kinsoku/>
        <w:overflowPunct/>
        <w:topLinePunct w:val="0"/>
        <w:autoSpaceDE/>
        <w:autoSpaceDN/>
        <w:bidi w:val="0"/>
        <w:snapToGrid/>
        <w:spacing w:after="0" w:afterLines="0" w:line="360" w:lineRule="auto"/>
        <w:ind w:left="0" w:right="0"/>
        <w:rPr>
          <w:rFonts w:hint="default" w:ascii="Times New Roman" w:hAnsi="Times New Roman" w:eastAsia="仿宋" w:cs="Times New Roman"/>
          <w:color w:val="auto"/>
          <w:sz w:val="32"/>
          <w:szCs w:val="32"/>
          <w:highlight w:val="none"/>
          <w:lang w:val="en-US" w:eastAsia="zh-CN"/>
        </w:rPr>
      </w:pPr>
    </w:p>
    <w:p w14:paraId="2B058D3A">
      <w:pPr>
        <w:pageBreakBefore w:val="0"/>
        <w:kinsoku/>
        <w:overflowPunct/>
        <w:topLinePunct w:val="0"/>
        <w:autoSpaceDE/>
        <w:autoSpaceDN/>
        <w:bidi w:val="0"/>
        <w:snapToGrid/>
        <w:spacing w:line="360" w:lineRule="auto"/>
        <w:ind w:left="0" w:right="0"/>
        <w:jc w:val="left"/>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联系人：</w:t>
      </w:r>
      <w:r>
        <w:rPr>
          <w:rFonts w:hint="default" w:ascii="Times New Roman" w:hAnsi="Times New Roman" w:eastAsia="仿宋" w:cs="Times New Roman"/>
          <w:color w:val="auto"/>
          <w:sz w:val="32"/>
          <w:szCs w:val="32"/>
          <w:highlight w:val="none"/>
          <w:u w:val="single"/>
          <w:lang w:val="en-US" w:eastAsia="zh-CN"/>
        </w:rPr>
        <w:tab/>
      </w:r>
      <w:r>
        <w:rPr>
          <w:rFonts w:hint="default" w:ascii="Times New Roman" w:hAnsi="Times New Roman" w:eastAsia="仿宋" w:cs="Times New Roman"/>
          <w:color w:val="auto"/>
          <w:sz w:val="32"/>
          <w:szCs w:val="32"/>
          <w:highlight w:val="none"/>
          <w:u w:val="single"/>
          <w:lang w:val="en-US" w:eastAsia="zh-CN"/>
        </w:rPr>
        <w:t xml:space="preserve">      </w:t>
      </w:r>
      <w:r>
        <w:rPr>
          <w:rFonts w:hint="default" w:ascii="Times New Roman" w:hAnsi="Times New Roman" w:eastAsia="仿宋" w:cs="Times New Roman"/>
          <w:color w:val="auto"/>
          <w:sz w:val="32"/>
          <w:szCs w:val="32"/>
          <w:highlight w:val="none"/>
          <w:u w:val="single"/>
          <w:lang w:val="en-US" w:eastAsia="zh-CN"/>
        </w:rPr>
        <w:tab/>
      </w:r>
      <w:r>
        <w:rPr>
          <w:rFonts w:hint="default" w:ascii="Times New Roman" w:hAnsi="Times New Roman" w:eastAsia="仿宋" w:cs="Times New Roman"/>
          <w:color w:val="auto"/>
          <w:sz w:val="32"/>
          <w:szCs w:val="32"/>
          <w:highlight w:val="none"/>
          <w:lang w:val="en-US" w:eastAsia="zh-CN"/>
        </w:rPr>
        <w:t>联系方式：</w:t>
      </w:r>
      <w:r>
        <w:rPr>
          <w:rFonts w:hint="default" w:ascii="Times New Roman" w:hAnsi="Times New Roman" w:eastAsia="仿宋" w:cs="Times New Roman"/>
          <w:color w:val="auto"/>
          <w:sz w:val="32"/>
          <w:szCs w:val="32"/>
          <w:highlight w:val="none"/>
          <w:u w:val="single"/>
          <w:lang w:val="en-US" w:eastAsia="zh-CN"/>
        </w:rPr>
        <w:t xml:space="preserve">            </w:t>
      </w:r>
    </w:p>
    <w:p w14:paraId="747A3167">
      <w:pPr>
        <w:pageBreakBefore w:val="0"/>
        <w:kinsoku/>
        <w:overflowPunct/>
        <w:topLinePunct w:val="0"/>
        <w:autoSpaceDE/>
        <w:autoSpaceDN/>
        <w:bidi w:val="0"/>
        <w:snapToGrid/>
        <w:spacing w:line="360" w:lineRule="auto"/>
        <w:ind w:left="0" w:right="0"/>
        <w:jc w:val="left"/>
        <w:rPr>
          <w:rFonts w:hint="default" w:ascii="Times New Roman" w:hAnsi="Times New Roman" w:eastAsia="仿宋" w:cs="Times New Roman"/>
          <w:color w:val="auto"/>
          <w:sz w:val="32"/>
          <w:szCs w:val="32"/>
          <w:highlight w:val="none"/>
          <w:lang w:val="en-US" w:eastAsia="zh-CN"/>
        </w:rPr>
      </w:pPr>
    </w:p>
    <w:p w14:paraId="67D2FE1D">
      <w:pPr>
        <w:pageBreakBefore w:val="0"/>
        <w:kinsoku/>
        <w:overflowPunct/>
        <w:topLinePunct w:val="0"/>
        <w:autoSpaceDE/>
        <w:autoSpaceDN/>
        <w:bidi w:val="0"/>
        <w:snapToGrid/>
        <w:spacing w:line="360" w:lineRule="auto"/>
        <w:ind w:left="0" w:right="0"/>
        <w:jc w:val="right"/>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 xml:space="preserve">  供应商名称：</w:t>
      </w:r>
      <w:r>
        <w:rPr>
          <w:rFonts w:hint="default" w:ascii="Times New Roman" w:hAnsi="Times New Roman" w:eastAsia="仿宋" w:cs="Times New Roman"/>
          <w:color w:val="auto"/>
          <w:sz w:val="32"/>
          <w:szCs w:val="32"/>
          <w:highlight w:val="none"/>
          <w:u w:val="single"/>
          <w:lang w:val="en-US" w:eastAsia="zh-CN"/>
        </w:rPr>
        <w:t xml:space="preserve">                </w:t>
      </w:r>
      <w:r>
        <w:rPr>
          <w:rFonts w:hint="default" w:ascii="Times New Roman" w:hAnsi="Times New Roman" w:eastAsia="仿宋" w:cs="Times New Roman"/>
          <w:color w:val="auto"/>
          <w:sz w:val="32"/>
          <w:szCs w:val="32"/>
          <w:highlight w:val="none"/>
          <w:lang w:val="en-US" w:eastAsia="zh-CN"/>
        </w:rPr>
        <w:t>（公章）</w:t>
      </w:r>
    </w:p>
    <w:p w14:paraId="24BDBC9A">
      <w:pPr>
        <w:pageBreakBefore w:val="0"/>
        <w:kinsoku/>
        <w:overflowPunct/>
        <w:topLinePunct w:val="0"/>
        <w:autoSpaceDE/>
        <w:autoSpaceDN/>
        <w:bidi w:val="0"/>
        <w:snapToGrid/>
        <w:spacing w:line="360" w:lineRule="auto"/>
        <w:ind w:left="0" w:right="0"/>
        <w:jc w:val="right"/>
        <w:rPr>
          <w:rFonts w:hint="eastAsia" w:ascii="仿宋_GB2312" w:hAnsi="仿宋_GB2312" w:eastAsia="仿宋_GB2312" w:cs="仿宋_GB2312"/>
          <w:sz w:val="32"/>
          <w:szCs w:val="32"/>
        </w:rPr>
      </w:pPr>
      <w:r>
        <w:rPr>
          <w:rFonts w:hint="default" w:ascii="Times New Roman" w:hAnsi="Times New Roman" w:eastAsia="仿宋" w:cs="Times New Roman"/>
          <w:color w:val="auto"/>
          <w:sz w:val="32"/>
          <w:szCs w:val="32"/>
          <w:highlight w:val="none"/>
          <w:lang w:val="en-US" w:eastAsia="zh-CN"/>
        </w:rPr>
        <w:t>日期：</w:t>
      </w:r>
      <w:r>
        <w:rPr>
          <w:rFonts w:hint="default" w:ascii="Times New Roman" w:hAnsi="Times New Roman" w:eastAsia="仿宋" w:cs="Times New Roman"/>
          <w:color w:val="auto"/>
          <w:sz w:val="32"/>
          <w:szCs w:val="32"/>
          <w:highlight w:val="none"/>
          <w:u w:val="single"/>
          <w:lang w:val="en-US" w:eastAsia="zh-CN"/>
        </w:rPr>
        <w:t xml:space="preserve">    </w:t>
      </w:r>
      <w:r>
        <w:rPr>
          <w:rFonts w:hint="default" w:ascii="Times New Roman" w:hAnsi="Times New Roman" w:eastAsia="仿宋" w:cs="Times New Roman"/>
          <w:color w:val="auto"/>
          <w:sz w:val="32"/>
          <w:szCs w:val="32"/>
          <w:highlight w:val="none"/>
          <w:lang w:val="en-US" w:eastAsia="zh-CN"/>
        </w:rPr>
        <w:t>年</w:t>
      </w:r>
      <w:r>
        <w:rPr>
          <w:rFonts w:hint="default" w:ascii="Times New Roman" w:hAnsi="Times New Roman" w:eastAsia="仿宋" w:cs="Times New Roman"/>
          <w:color w:val="auto"/>
          <w:sz w:val="32"/>
          <w:szCs w:val="32"/>
          <w:highlight w:val="none"/>
          <w:u w:val="single"/>
          <w:lang w:val="en-US" w:eastAsia="zh-CN"/>
        </w:rPr>
        <w:t xml:space="preserve">    </w:t>
      </w:r>
      <w:r>
        <w:rPr>
          <w:rFonts w:hint="default" w:ascii="Times New Roman" w:hAnsi="Times New Roman" w:eastAsia="仿宋" w:cs="Times New Roman"/>
          <w:color w:val="auto"/>
          <w:sz w:val="32"/>
          <w:szCs w:val="32"/>
          <w:highlight w:val="none"/>
          <w:lang w:val="en-US" w:eastAsia="zh-CN"/>
        </w:rPr>
        <w:t>月</w:t>
      </w:r>
      <w:r>
        <w:rPr>
          <w:rFonts w:hint="default" w:ascii="Times New Roman" w:hAnsi="Times New Roman" w:eastAsia="仿宋" w:cs="Times New Roman"/>
          <w:color w:val="auto"/>
          <w:sz w:val="32"/>
          <w:szCs w:val="32"/>
          <w:highlight w:val="none"/>
          <w:u w:val="single"/>
          <w:lang w:val="en-US" w:eastAsia="zh-CN"/>
        </w:rPr>
        <w:t xml:space="preserve">    </w:t>
      </w:r>
      <w:r>
        <w:rPr>
          <w:rFonts w:hint="default" w:ascii="Times New Roman" w:hAnsi="Times New Roman" w:eastAsia="仿宋" w:cs="Times New Roman"/>
          <w:color w:val="auto"/>
          <w:sz w:val="32"/>
          <w:szCs w:val="32"/>
          <w:highlight w:val="none"/>
          <w:lang w:val="en-US" w:eastAsia="zh-CN"/>
        </w:rPr>
        <w:t>日</w:t>
      </w:r>
    </w:p>
    <w:p w14:paraId="7F59BA5E">
      <w:pPr>
        <w:pStyle w:val="1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DCF7F5B-AEF5-44BD-BBEF-1879C19FB5CD}"/>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C70F60D-3FA1-4465-80E6-732E1BF00698}"/>
  </w:font>
  <w:font w:name="方正仿宋_GBK">
    <w:panose1 w:val="02000000000000000000"/>
    <w:charset w:val="86"/>
    <w:family w:val="auto"/>
    <w:pitch w:val="default"/>
    <w:sig w:usb0="A00002BF" w:usb1="38CF7CFA" w:usb2="00082016" w:usb3="00000000" w:csb0="00040001" w:csb1="00000000"/>
    <w:embedRegular r:id="rId3" w:fontKey="{4E5C1A25-5ECA-45F5-AF5D-99B2DD940711}"/>
  </w:font>
  <w:font w:name="Tms Rmn">
    <w:altName w:val="Times New Roman"/>
    <w:panose1 w:val="02020603040505020304"/>
    <w:charset w:val="00"/>
    <w:family w:val="roman"/>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781EA734-6EEA-4CFE-ACA9-480E145B6ED8}"/>
  </w:font>
  <w:font w:name="方正黑体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5" w:fontKey="{349739C6-9FE7-4720-9CF2-034F56F7D77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3685BB"/>
    <w:multiLevelType w:val="singleLevel"/>
    <w:tmpl w:val="1F3685BB"/>
    <w:lvl w:ilvl="0" w:tentative="0">
      <w:start w:val="1"/>
      <w:numFmt w:val="decimal"/>
      <w:lvlText w:val="%1."/>
      <w:lvlJc w:val="left"/>
      <w:pPr>
        <w:tabs>
          <w:tab w:val="left" w:pos="312"/>
        </w:tabs>
      </w:p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395546"/>
    <w:rsid w:val="0CCE2C48"/>
    <w:rsid w:val="0E5434E9"/>
    <w:rsid w:val="11C10E95"/>
    <w:rsid w:val="16F21AF1"/>
    <w:rsid w:val="1DE9461A"/>
    <w:rsid w:val="250B3628"/>
    <w:rsid w:val="2D215175"/>
    <w:rsid w:val="3856182A"/>
    <w:rsid w:val="52BD48B2"/>
    <w:rsid w:val="55EB785C"/>
    <w:rsid w:val="56AD7D44"/>
    <w:rsid w:val="5A152E5F"/>
    <w:rsid w:val="67412D0B"/>
    <w:rsid w:val="68395546"/>
    <w:rsid w:val="785F5BF5"/>
    <w:rsid w:val="7B8A6DAA"/>
    <w:rsid w:val="7BBA0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Salutation"/>
    <w:basedOn w:val="1"/>
    <w:next w:val="1"/>
    <w:qFormat/>
    <w:uiPriority w:val="0"/>
  </w:style>
  <w:style w:type="paragraph" w:styleId="4">
    <w:name w:val="Body Text"/>
    <w:basedOn w:val="1"/>
    <w:next w:val="5"/>
    <w:qFormat/>
    <w:uiPriority w:val="0"/>
    <w:pPr>
      <w:spacing w:after="120"/>
    </w:pPr>
    <w:rPr>
      <w:rFonts w:ascii="Times New Roman" w:hAnsi="Times New Roman" w:cs="Times New Roman"/>
      <w:szCs w:val="24"/>
    </w:rPr>
  </w:style>
  <w:style w:type="paragraph" w:styleId="5">
    <w:name w:val="Plain Text"/>
    <w:basedOn w:val="1"/>
    <w:next w:val="1"/>
    <w:qFormat/>
    <w:uiPriority w:val="99"/>
    <w:pPr>
      <w:autoSpaceDE w:val="0"/>
      <w:autoSpaceDN w:val="0"/>
      <w:adjustRightInd w:val="0"/>
    </w:pPr>
    <w:rPr>
      <w:rFonts w:ascii="宋体" w:hAnsi="Tms Rmn" w:cs="Times New Roman"/>
      <w:kern w:val="0"/>
      <w:sz w:val="20"/>
      <w:szCs w:val="2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写稿子"/>
    <w:basedOn w:val="1"/>
    <w:qFormat/>
    <w:uiPriority w:val="0"/>
    <w:pPr>
      <w:spacing w:line="590" w:lineRule="exact"/>
      <w:ind w:firstLine="420" w:firstLineChars="200"/>
    </w:pPr>
    <w:rPr>
      <w:rFonts w:hint="default" w:ascii="Times New Roman" w:hAnsi="Times New Roman" w:eastAsia="方正仿宋_GBK"/>
      <w:sz w:val="32"/>
      <w:szCs w:val="32"/>
    </w:rPr>
  </w:style>
  <w:style w:type="paragraph" w:customStyle="1" w:styleId="10">
    <w:name w:val="标题 5（有编号）（绿盟科技）"/>
    <w:basedOn w:val="1"/>
    <w:next w:val="11"/>
    <w:qFormat/>
    <w:uiPriority w:val="0"/>
    <w:pPr>
      <w:keepNext/>
      <w:keepLines/>
      <w:numPr>
        <w:ilvl w:val="4"/>
        <w:numId w:val="1"/>
      </w:numPr>
      <w:spacing w:before="280" w:after="156" w:line="377" w:lineRule="auto"/>
      <w:jc w:val="left"/>
      <w:outlineLvl w:val="4"/>
    </w:pPr>
    <w:rPr>
      <w:rFonts w:ascii="Arial" w:hAnsi="Arial" w:eastAsia="黑体"/>
      <w:b/>
      <w:kern w:val="0"/>
      <w:szCs w:val="28"/>
    </w:rPr>
  </w:style>
  <w:style w:type="paragraph" w:customStyle="1" w:styleId="11">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4044</Words>
  <Characters>4208</Characters>
  <Lines>0</Lines>
  <Paragraphs>0</Paragraphs>
  <TotalTime>283</TotalTime>
  <ScaleCrop>false</ScaleCrop>
  <LinksUpToDate>false</LinksUpToDate>
  <CharactersWithSpaces>4307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2026-01-15T03:20:00Z</dcterms:created>
  <dc:creator>♥↪悟空～♀</dc:creator>
  <cp:lastModifiedBy>♥↪悟空～♀</cp:lastModifiedBy>
  <cp:lastPrinted>2026-01-20T08:13:05Z</cp:lastPrinted>
  <dcterms:modified xsi:type="dcterms:W3CDTF">2026-01-20T08:28:40Z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9C6121629F0B42F79C58A77A19FF992E_11</vt:lpwstr>
  </property>
  <property fmtid="{D5CDD505-2E9C-101B-9397-08002B2CF9AE}" pid="4" name="KSOTemplateDocerSaveRecord">
    <vt:lpwstr>eyJoZGlkIjoiYjNjZTc4M2RlNmY1YzZkZTZiYTQ5ZGY1MzFhYTgwMDQiLCJ1c2VySWQiOiIyNDU3Njg5MzQifQ==</vt:lpwstr>
  </property>
</Properties>
</file>